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F1" w:rsidRPr="00BF7FD7" w:rsidRDefault="008D2DF1" w:rsidP="00BF7FD7">
      <w:pPr>
        <w:spacing w:after="0"/>
        <w:rPr>
          <w:rFonts w:ascii="Arial" w:hAnsi="Arial" w:cs="Arial"/>
          <w:b/>
          <w:sz w:val="20"/>
          <w:szCs w:val="20"/>
        </w:rPr>
      </w:pPr>
      <w:proofErr w:type="gramStart"/>
      <w:r w:rsidRPr="00BF7FD7">
        <w:rPr>
          <w:rFonts w:ascii="Arial" w:hAnsi="Arial" w:cs="Arial"/>
          <w:b/>
          <w:sz w:val="20"/>
          <w:szCs w:val="20"/>
        </w:rPr>
        <w:t>S T A N D A R D  12</w:t>
      </w:r>
      <w:proofErr w:type="gramEnd"/>
    </w:p>
    <w:p w:rsidR="008D2DF1" w:rsidRPr="00BF7FD7" w:rsidRDefault="008D2DF1" w:rsidP="00BF7FD7">
      <w:pPr>
        <w:spacing w:after="0"/>
        <w:rPr>
          <w:rFonts w:ascii="Arial" w:hAnsi="Arial" w:cs="Arial"/>
          <w:b/>
          <w:sz w:val="20"/>
          <w:szCs w:val="20"/>
        </w:rPr>
      </w:pPr>
      <w:r w:rsidRPr="00BF7FD7">
        <w:rPr>
          <w:rFonts w:ascii="Arial" w:hAnsi="Arial" w:cs="Arial"/>
          <w:b/>
          <w:sz w:val="20"/>
          <w:szCs w:val="20"/>
        </w:rPr>
        <w:t>Dokumentace o výkonu sociálně-právní ochrany dětí</w:t>
      </w:r>
    </w:p>
    <w:p w:rsidR="008D2DF1" w:rsidRPr="00BF7FD7" w:rsidRDefault="008D2DF1" w:rsidP="00BF7FD7">
      <w:pPr>
        <w:spacing w:before="120" w:after="0" w:line="240" w:lineRule="auto"/>
        <w:jc w:val="both"/>
        <w:rPr>
          <w:rFonts w:ascii="Times New Roman" w:hAnsi="Times New Roman" w:cs="Times New Roman"/>
          <w:sz w:val="24"/>
          <w:szCs w:val="24"/>
        </w:rPr>
      </w:pPr>
      <w:r w:rsidRPr="00BF7FD7">
        <w:rPr>
          <w:rFonts w:ascii="Times New Roman" w:hAnsi="Times New Roman" w:cs="Times New Roman"/>
          <w:sz w:val="24"/>
          <w:szCs w:val="24"/>
        </w:rPr>
        <w:t>12a</w:t>
      </w:r>
    </w:p>
    <w:p w:rsidR="00637F19" w:rsidRPr="00BF7FD7" w:rsidRDefault="008D2DF1" w:rsidP="00BF7FD7">
      <w:pPr>
        <w:spacing w:before="120" w:after="0" w:line="240" w:lineRule="auto"/>
        <w:jc w:val="both"/>
        <w:rPr>
          <w:rFonts w:ascii="Times New Roman" w:hAnsi="Times New Roman" w:cs="Times New Roman"/>
          <w:sz w:val="24"/>
          <w:szCs w:val="24"/>
        </w:rPr>
      </w:pPr>
      <w:r w:rsidRPr="00BF7FD7">
        <w:rPr>
          <w:rFonts w:ascii="Times New Roman" w:hAnsi="Times New Roman" w:cs="Times New Roman"/>
          <w:sz w:val="24"/>
          <w:szCs w:val="24"/>
        </w:rPr>
        <w:t>Orgán sociálně-právní ochrany uplatňuje systém zpracování, vedení, evidence a archivace dokumentace, včetně vedení elektronické dokumentace v informačním systému sociálně-právní ochrany dětí o klientech a dalších osobách.</w:t>
      </w:r>
    </w:p>
    <w:p w:rsidR="008D2DF1" w:rsidRPr="00BF7FD7" w:rsidRDefault="008D2DF1" w:rsidP="00BF7FD7">
      <w:pPr>
        <w:spacing w:before="120" w:after="0" w:line="240" w:lineRule="auto"/>
        <w:jc w:val="both"/>
        <w:rPr>
          <w:rFonts w:ascii="Times New Roman" w:hAnsi="Times New Roman" w:cs="Times New Roman"/>
          <w:sz w:val="24"/>
          <w:szCs w:val="24"/>
        </w:rPr>
      </w:pPr>
      <w:r w:rsidRPr="00BF7FD7">
        <w:rPr>
          <w:rFonts w:ascii="Times New Roman" w:hAnsi="Times New Roman" w:cs="Times New Roman"/>
          <w:sz w:val="24"/>
          <w:szCs w:val="24"/>
        </w:rPr>
        <w:t>12b</w:t>
      </w:r>
    </w:p>
    <w:p w:rsidR="008D2DF1" w:rsidRDefault="008D2DF1" w:rsidP="00BF7FD7">
      <w:pPr>
        <w:spacing w:before="120" w:after="0" w:line="240" w:lineRule="auto"/>
        <w:jc w:val="both"/>
        <w:rPr>
          <w:rFonts w:ascii="Times New Roman" w:hAnsi="Times New Roman" w:cs="Times New Roman"/>
          <w:sz w:val="24"/>
          <w:szCs w:val="24"/>
        </w:rPr>
      </w:pPr>
      <w:r w:rsidRPr="00BF7FD7">
        <w:rPr>
          <w:rFonts w:ascii="Times New Roman" w:hAnsi="Times New Roman" w:cs="Times New Roman"/>
          <w:sz w:val="24"/>
          <w:szCs w:val="24"/>
        </w:rPr>
        <w:t>Záznamy orgánu sociálně-právní ochrany jsou vedeny takovým způsobem, aby byly srozumitelné pro klienta.</w:t>
      </w:r>
    </w:p>
    <w:p w:rsidR="00BF7FD7" w:rsidRPr="00995EB5" w:rsidRDefault="00BF7FD7" w:rsidP="00BF7FD7">
      <w:pPr>
        <w:spacing w:before="120" w:after="0" w:line="240" w:lineRule="auto"/>
        <w:jc w:val="center"/>
        <w:rPr>
          <w:rFonts w:ascii="Arial" w:hAnsi="Arial" w:cs="Arial"/>
          <w:sz w:val="96"/>
          <w:szCs w:val="96"/>
        </w:rPr>
      </w:pPr>
      <w:r w:rsidRPr="00995EB5">
        <w:rPr>
          <w:rFonts w:ascii="Arial" w:hAnsi="Arial" w:cs="Arial"/>
          <w:sz w:val="96"/>
          <w:szCs w:val="96"/>
        </w:rPr>
        <w:sym w:font="Wingdings" w:char="F0F2"/>
      </w:r>
    </w:p>
    <w:p w:rsidR="00995EB5" w:rsidRDefault="00995EB5" w:rsidP="00BF7FD7">
      <w:pPr>
        <w:spacing w:after="0" w:line="240" w:lineRule="auto"/>
        <w:rPr>
          <w:rFonts w:ascii="Arial" w:eastAsia="Times New Roman" w:hAnsi="Arial" w:cs="Arial"/>
          <w:b/>
          <w:color w:val="003C69"/>
          <w:sz w:val="96"/>
          <w:szCs w:val="96"/>
          <w:lang w:eastAsia="cs-CZ"/>
        </w:rPr>
      </w:pPr>
    </w:p>
    <w:p w:rsidR="00BF7FD7" w:rsidRPr="00BF7FD7" w:rsidRDefault="00BF7FD7" w:rsidP="00BF7FD7">
      <w:pPr>
        <w:spacing w:after="0" w:line="240" w:lineRule="auto"/>
        <w:rPr>
          <w:rFonts w:ascii="Arial" w:eastAsia="Times New Roman" w:hAnsi="Arial" w:cs="Arial"/>
          <w:b/>
          <w:color w:val="003C69"/>
          <w:sz w:val="96"/>
          <w:szCs w:val="96"/>
          <w:lang w:eastAsia="cs-CZ"/>
        </w:rPr>
      </w:pPr>
      <w:r w:rsidRPr="00BF7FD7">
        <w:rPr>
          <w:rFonts w:ascii="Arial" w:eastAsia="Times New Roman" w:hAnsi="Arial" w:cs="Arial"/>
          <w:b/>
          <w:color w:val="003C69"/>
          <w:sz w:val="96"/>
          <w:szCs w:val="96"/>
          <w:lang w:eastAsia="cs-CZ"/>
        </w:rPr>
        <w:t>Pokyn vedoucí odboru</w:t>
      </w:r>
    </w:p>
    <w:p w:rsidR="00BF7FD7" w:rsidRPr="00BF7FD7" w:rsidRDefault="00BF7FD7" w:rsidP="00BF7FD7">
      <w:pPr>
        <w:spacing w:after="0" w:line="240" w:lineRule="auto"/>
        <w:rPr>
          <w:rFonts w:ascii="Arial" w:eastAsia="Times New Roman" w:hAnsi="Arial" w:cs="Arial"/>
          <w:b/>
          <w:color w:val="003C69"/>
          <w:sz w:val="40"/>
          <w:szCs w:val="40"/>
          <w:lang w:eastAsia="cs-CZ"/>
        </w:rPr>
      </w:pPr>
    </w:p>
    <w:p w:rsidR="00BF7FD7" w:rsidRPr="00BF7FD7" w:rsidRDefault="00BF7FD7" w:rsidP="00BF7FD7">
      <w:pPr>
        <w:spacing w:after="0" w:line="240" w:lineRule="auto"/>
        <w:rPr>
          <w:rFonts w:ascii="Arial" w:eastAsia="Times New Roman" w:hAnsi="Arial" w:cs="Arial"/>
          <w:b/>
          <w:color w:val="003C69"/>
          <w:sz w:val="40"/>
          <w:szCs w:val="40"/>
          <w:lang w:eastAsia="cs-CZ"/>
        </w:rPr>
      </w:pPr>
    </w:p>
    <w:p w:rsidR="00BF7FD7" w:rsidRPr="00BF7FD7" w:rsidRDefault="00BF7FD7" w:rsidP="00BF7FD7">
      <w:pPr>
        <w:spacing w:after="0" w:line="240" w:lineRule="auto"/>
        <w:rPr>
          <w:rFonts w:ascii="Arial" w:eastAsia="Times New Roman" w:hAnsi="Arial" w:cs="Arial"/>
          <w:b/>
          <w:color w:val="003C69"/>
          <w:sz w:val="40"/>
          <w:szCs w:val="40"/>
          <w:lang w:eastAsia="cs-CZ"/>
        </w:rPr>
      </w:pPr>
      <w:r w:rsidRPr="00BF7FD7">
        <w:rPr>
          <w:rFonts w:ascii="Arial" w:eastAsia="Times New Roman" w:hAnsi="Arial" w:cs="Arial"/>
          <w:b/>
          <w:color w:val="003C69"/>
          <w:sz w:val="40"/>
          <w:szCs w:val="40"/>
          <w:lang w:eastAsia="cs-CZ"/>
        </w:rPr>
        <w:t>PVO 2014- 06</w:t>
      </w:r>
    </w:p>
    <w:p w:rsidR="00BF7FD7" w:rsidRPr="00BF7FD7" w:rsidRDefault="00BF7FD7" w:rsidP="00BF7FD7">
      <w:pPr>
        <w:spacing w:after="0" w:line="240" w:lineRule="auto"/>
        <w:rPr>
          <w:rFonts w:ascii="Arial" w:eastAsia="Times New Roman" w:hAnsi="Arial" w:cs="Arial"/>
          <w:b/>
          <w:color w:val="003C69"/>
          <w:sz w:val="40"/>
          <w:szCs w:val="40"/>
          <w:lang w:eastAsia="cs-CZ"/>
        </w:rPr>
      </w:pPr>
    </w:p>
    <w:p w:rsidR="00BF7FD7" w:rsidRPr="00BF7FD7" w:rsidRDefault="00BF7FD7" w:rsidP="00BF7FD7">
      <w:pPr>
        <w:spacing w:after="0" w:line="240" w:lineRule="auto"/>
        <w:rPr>
          <w:rFonts w:ascii="Arial" w:eastAsia="Times New Roman" w:hAnsi="Arial" w:cs="Arial"/>
          <w:b/>
          <w:color w:val="003C69"/>
          <w:sz w:val="40"/>
          <w:szCs w:val="40"/>
          <w:lang w:eastAsia="cs-CZ"/>
        </w:rPr>
      </w:pPr>
    </w:p>
    <w:p w:rsidR="00BF7FD7" w:rsidRPr="00BF7FD7" w:rsidRDefault="00BF7FD7" w:rsidP="00BF7FD7">
      <w:pPr>
        <w:spacing w:after="0" w:line="240" w:lineRule="auto"/>
        <w:rPr>
          <w:rFonts w:ascii="Arial" w:eastAsia="Times New Roman" w:hAnsi="Arial" w:cs="Arial"/>
          <w:b/>
          <w:color w:val="003C69"/>
          <w:sz w:val="40"/>
          <w:szCs w:val="40"/>
          <w:lang w:eastAsia="cs-CZ"/>
        </w:rPr>
      </w:pPr>
      <w:r w:rsidRPr="00BF7FD7">
        <w:rPr>
          <w:rFonts w:ascii="Arial" w:eastAsia="Times New Roman" w:hAnsi="Arial" w:cs="Arial"/>
          <w:b/>
          <w:color w:val="003C69"/>
          <w:sz w:val="40"/>
          <w:szCs w:val="40"/>
          <w:lang w:eastAsia="cs-CZ"/>
        </w:rPr>
        <w:t>Dokumentace o výkonu sociálně-právní ochrany dětí</w:t>
      </w:r>
    </w:p>
    <w:p w:rsidR="00BF7FD7" w:rsidRPr="00BF7FD7" w:rsidRDefault="00BF7FD7" w:rsidP="00BF7FD7">
      <w:pPr>
        <w:spacing w:after="0" w:line="240" w:lineRule="auto"/>
        <w:rPr>
          <w:rFonts w:ascii="Arial" w:eastAsia="Times New Roman" w:hAnsi="Arial" w:cs="Arial"/>
          <w:b/>
          <w:color w:val="003C69"/>
          <w:sz w:val="32"/>
          <w:szCs w:val="32"/>
          <w:lang w:eastAsia="cs-CZ"/>
        </w:rPr>
      </w:pPr>
    </w:p>
    <w:p w:rsidR="00BF7FD7" w:rsidRPr="00BF7FD7" w:rsidRDefault="00BF7FD7" w:rsidP="00BF7FD7">
      <w:pPr>
        <w:spacing w:after="0" w:line="240" w:lineRule="auto"/>
        <w:rPr>
          <w:rFonts w:ascii="Arial" w:eastAsia="Times New Roman" w:hAnsi="Arial" w:cs="Arial"/>
          <w:b/>
          <w:color w:val="003C69"/>
          <w:sz w:val="32"/>
          <w:szCs w:val="32"/>
          <w:lang w:eastAsia="cs-CZ"/>
        </w:rPr>
      </w:pP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Pokyn vychází ze standardu:</w:t>
      </w:r>
    </w:p>
    <w:p w:rsidR="00BF7FD7" w:rsidRPr="00BF7FD7" w:rsidRDefault="00BF7FD7" w:rsidP="00BF7FD7">
      <w:pPr>
        <w:spacing w:before="120" w:after="0" w:line="240" w:lineRule="auto"/>
        <w:jc w:val="both"/>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č. 12, kritérium 12a) a 12b)</w:t>
      </w: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after="0" w:line="240" w:lineRule="auto"/>
        <w:rPr>
          <w:rFonts w:ascii="Arial" w:eastAsia="Times New Roman" w:hAnsi="Arial" w:cs="Arial"/>
          <w:b/>
          <w:sz w:val="32"/>
          <w:szCs w:val="32"/>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Vydal:</w:t>
      </w:r>
    </w:p>
    <w:p w:rsidR="00BF7FD7" w:rsidRPr="00BF7FD7" w:rsidRDefault="00BF7FD7" w:rsidP="00BF7FD7">
      <w:pPr>
        <w:spacing w:before="120" w:after="0" w:line="240" w:lineRule="auto"/>
        <w:jc w:val="both"/>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Bc. Dagmar Bradová, vedoucí odboru sociálních věcí</w:t>
      </w:r>
    </w:p>
    <w:p w:rsidR="00BF7FD7" w:rsidRPr="00BF7FD7" w:rsidRDefault="00BF7FD7" w:rsidP="00BF7FD7">
      <w:pPr>
        <w:spacing w:before="120" w:after="0" w:line="240" w:lineRule="auto"/>
        <w:jc w:val="both"/>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dne 27. 11. 2014</w:t>
      </w:r>
    </w:p>
    <w:p w:rsidR="00BF7FD7" w:rsidRPr="00BF7FD7" w:rsidRDefault="00BF7FD7" w:rsidP="00BF7FD7">
      <w:pPr>
        <w:spacing w:before="120" w:after="0" w:line="240" w:lineRule="auto"/>
        <w:jc w:val="both"/>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s účinností od 1. 1. 2015</w:t>
      </w:r>
    </w:p>
    <w:p w:rsidR="00BF7FD7" w:rsidRPr="00BF7FD7" w:rsidRDefault="00BF7FD7" w:rsidP="00BF7FD7">
      <w:pPr>
        <w:spacing w:before="120" w:after="0" w:line="240" w:lineRule="auto"/>
        <w:jc w:val="both"/>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za vydavatele Bc. Dagmar Bradová, vedoucí odboru sociálních věcí _______________________</w:t>
      </w: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Zpracovatel:</w:t>
      </w:r>
    </w:p>
    <w:p w:rsidR="00BF7FD7" w:rsidRPr="00BF7FD7" w:rsidRDefault="00BF7FD7" w:rsidP="00BF7FD7">
      <w:pPr>
        <w:spacing w:before="120" w:after="0" w:line="240" w:lineRule="auto"/>
        <w:rPr>
          <w:rFonts w:ascii="Times New Roman" w:eastAsia="Times New Roman" w:hAnsi="Times New Roman" w:cs="Times New Roman"/>
          <w:lang w:eastAsia="cs-CZ"/>
        </w:rPr>
      </w:pPr>
    </w:p>
    <w:p w:rsidR="00BF7FD7" w:rsidRPr="00BF7FD7" w:rsidRDefault="00BF7FD7" w:rsidP="00BF7FD7">
      <w:pPr>
        <w:spacing w:before="120" w:after="0" w:line="240" w:lineRule="auto"/>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Bc. Dagmar Bradová, vedoucí odboru sociálních věcí _______________________</w:t>
      </w:r>
    </w:p>
    <w:p w:rsidR="00BF7FD7" w:rsidRPr="00BF7FD7" w:rsidRDefault="00BF7FD7" w:rsidP="00BF7FD7">
      <w:pPr>
        <w:spacing w:before="120" w:after="0" w:line="240" w:lineRule="auto"/>
        <w:rPr>
          <w:rFonts w:ascii="Times New Roman" w:eastAsia="Times New Roman" w:hAnsi="Times New Roman" w:cs="Times New Roman"/>
          <w:lang w:eastAsia="cs-CZ"/>
        </w:rPr>
      </w:pPr>
    </w:p>
    <w:p w:rsidR="00BF7FD7" w:rsidRPr="00BF7FD7" w:rsidRDefault="00BF7FD7" w:rsidP="00BF7FD7">
      <w:pPr>
        <w:spacing w:before="120" w:after="0" w:line="240" w:lineRule="auto"/>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Bc. Yveta Holubová, vedoucí oddělení sociálně-právní ochrany dětí ________________________</w:t>
      </w:r>
    </w:p>
    <w:p w:rsidR="00BF7FD7" w:rsidRPr="00BF7FD7" w:rsidRDefault="00BF7FD7" w:rsidP="00BF7FD7">
      <w:pPr>
        <w:spacing w:after="0" w:line="240" w:lineRule="auto"/>
        <w:jc w:val="both"/>
        <w:rPr>
          <w:rFonts w:ascii="Arial" w:eastAsia="Times New Roman" w:hAnsi="Arial" w:cs="Arial"/>
          <w:b/>
          <w:sz w:val="20"/>
          <w:szCs w:val="20"/>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p>
    <w:p w:rsidR="00BF7FD7" w:rsidRPr="00BF7FD7" w:rsidRDefault="00BF7FD7" w:rsidP="00BF7FD7">
      <w:pPr>
        <w:spacing w:before="120"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Závazné pro:</w:t>
      </w:r>
    </w:p>
    <w:p w:rsidR="00BF7FD7" w:rsidRPr="00BF7FD7" w:rsidRDefault="00BF7FD7" w:rsidP="00BF7FD7">
      <w:pPr>
        <w:spacing w:before="120" w:after="0" w:line="240" w:lineRule="auto"/>
        <w:rPr>
          <w:rFonts w:ascii="Times New Roman" w:eastAsia="Times New Roman" w:hAnsi="Times New Roman" w:cs="Times New Roman"/>
          <w:lang w:eastAsia="cs-CZ"/>
        </w:rPr>
      </w:pPr>
      <w:r w:rsidRPr="00BF7FD7">
        <w:rPr>
          <w:rFonts w:ascii="Times New Roman" w:eastAsia="Times New Roman" w:hAnsi="Times New Roman" w:cs="Times New Roman"/>
          <w:lang w:eastAsia="cs-CZ"/>
        </w:rPr>
        <w:t>zaměstnance zařazené do Úřadu městského obvodu Moravská Ostrava a Přívoz, odboru sociálních věcí, oddělení sociálně-právní ochrany dětí</w:t>
      </w:r>
    </w:p>
    <w:p w:rsidR="00BF7FD7" w:rsidRPr="00BF7FD7" w:rsidRDefault="00BF7FD7" w:rsidP="00BF7FD7">
      <w:pPr>
        <w:spacing w:before="120"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ind w:hanging="708"/>
        <w:rPr>
          <w:rFonts w:ascii="Times New Roman" w:eastAsia="Times New Roman" w:hAnsi="Times New Roman" w:cs="Times New Roman"/>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tabs>
          <w:tab w:val="center" w:pos="4535"/>
        </w:tabs>
        <w:spacing w:after="0" w:line="240" w:lineRule="auto"/>
        <w:rPr>
          <w:rFonts w:ascii="Times New Roman" w:eastAsia="Times New Roman" w:hAnsi="Times New Roman" w:cs="Times New Roman"/>
          <w:b/>
          <w:sz w:val="24"/>
          <w:szCs w:val="24"/>
          <w:lang w:eastAsia="cs-CZ"/>
        </w:rPr>
      </w:pPr>
    </w:p>
    <w:p w:rsidR="00BF7FD7" w:rsidRPr="00BF7FD7" w:rsidRDefault="00BF7FD7" w:rsidP="00BF7FD7">
      <w:pPr>
        <w:spacing w:after="0" w:line="240" w:lineRule="auto"/>
        <w:rPr>
          <w:rFonts w:ascii="Arial" w:eastAsia="Times New Roman" w:hAnsi="Arial" w:cs="Arial"/>
          <w:b/>
          <w:sz w:val="24"/>
          <w:szCs w:val="24"/>
          <w:lang w:eastAsia="cs-CZ"/>
        </w:rPr>
      </w:pPr>
      <w:r w:rsidRPr="00BF7FD7">
        <w:rPr>
          <w:rFonts w:ascii="Arial" w:eastAsia="Times New Roman" w:hAnsi="Arial" w:cs="Arial"/>
          <w:b/>
          <w:sz w:val="24"/>
          <w:szCs w:val="24"/>
          <w:lang w:eastAsia="cs-CZ"/>
        </w:rPr>
        <w:lastRenderedPageBreak/>
        <w:t>Obsah:</w:t>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r>
      <w:r w:rsidRPr="00BF7FD7">
        <w:rPr>
          <w:rFonts w:ascii="Arial" w:eastAsia="Times New Roman" w:hAnsi="Arial" w:cs="Arial"/>
          <w:b/>
          <w:sz w:val="24"/>
          <w:szCs w:val="24"/>
          <w:lang w:eastAsia="cs-CZ"/>
        </w:rPr>
        <w:tab/>
        <w:t xml:space="preserve">        str.</w:t>
      </w:r>
    </w:p>
    <w:p w:rsidR="00BF7FD7" w:rsidRPr="00BF7FD7" w:rsidRDefault="00BF7FD7" w:rsidP="00BF7FD7">
      <w:pPr>
        <w:spacing w:after="0" w:line="240" w:lineRule="auto"/>
        <w:outlineLvl w:val="0"/>
        <w:rPr>
          <w:rFonts w:ascii="Times New Roman" w:eastAsia="Times New Roman" w:hAnsi="Times New Roman" w:cs="Times New Roman"/>
          <w:b/>
          <w:sz w:val="24"/>
          <w:szCs w:val="24"/>
          <w:lang w:eastAsia="cs-CZ"/>
        </w:rPr>
      </w:pPr>
    </w:p>
    <w:p w:rsidR="00BF7FD7" w:rsidRPr="00BF7FD7" w:rsidRDefault="00BF7FD7" w:rsidP="00BF7FD7">
      <w:pPr>
        <w:tabs>
          <w:tab w:val="left" w:pos="8364"/>
        </w:tabs>
        <w:spacing w:before="120" w:after="0" w:line="240" w:lineRule="auto"/>
        <w:jc w:val="both"/>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1   Úvodní</w:t>
      </w:r>
      <w:proofErr w:type="gramEnd"/>
      <w:r w:rsidRPr="00BF7FD7">
        <w:rPr>
          <w:rFonts w:ascii="Times New Roman" w:eastAsia="Times New Roman" w:hAnsi="Times New Roman" w:cs="Times New Roman"/>
          <w:sz w:val="24"/>
          <w:szCs w:val="24"/>
          <w:lang w:eastAsia="cs-CZ"/>
        </w:rPr>
        <w:t xml:space="preserve"> ustanovení_______________________________________</w:t>
      </w:r>
      <w:r w:rsidRPr="00BF7FD7">
        <w:rPr>
          <w:rFonts w:ascii="Times New Roman" w:eastAsia="Times New Roman" w:hAnsi="Times New Roman" w:cs="Times New Roman"/>
          <w:sz w:val="24"/>
          <w:szCs w:val="24"/>
          <w:lang w:eastAsia="cs-CZ"/>
        </w:rPr>
        <w:softHyphen/>
      </w:r>
      <w:r w:rsidRPr="00BF7FD7">
        <w:rPr>
          <w:rFonts w:ascii="Times New Roman" w:eastAsia="Times New Roman" w:hAnsi="Times New Roman" w:cs="Times New Roman"/>
          <w:sz w:val="24"/>
          <w:szCs w:val="24"/>
          <w:lang w:eastAsia="cs-CZ"/>
        </w:rPr>
        <w:softHyphen/>
      </w:r>
      <w:r w:rsidRPr="00BF7FD7">
        <w:rPr>
          <w:rFonts w:ascii="Times New Roman" w:eastAsia="Times New Roman" w:hAnsi="Times New Roman" w:cs="Times New Roman"/>
          <w:sz w:val="24"/>
          <w:szCs w:val="24"/>
          <w:lang w:eastAsia="cs-CZ"/>
        </w:rPr>
        <w:softHyphen/>
        <w:t>_______5</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2   Základní</w:t>
      </w:r>
      <w:proofErr w:type="gramEnd"/>
      <w:r w:rsidRPr="00BF7FD7">
        <w:rPr>
          <w:rFonts w:ascii="Times New Roman" w:eastAsia="Times New Roman" w:hAnsi="Times New Roman" w:cs="Times New Roman"/>
          <w:sz w:val="24"/>
          <w:szCs w:val="24"/>
          <w:lang w:eastAsia="cs-CZ"/>
        </w:rPr>
        <w:t xml:space="preserve"> evidence______________________________________________ 5</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3   Pomocná</w:t>
      </w:r>
      <w:proofErr w:type="gramEnd"/>
      <w:r w:rsidRPr="00BF7FD7">
        <w:rPr>
          <w:rFonts w:ascii="Times New Roman" w:eastAsia="Times New Roman" w:hAnsi="Times New Roman" w:cs="Times New Roman"/>
          <w:sz w:val="24"/>
          <w:szCs w:val="24"/>
          <w:lang w:eastAsia="cs-CZ"/>
        </w:rPr>
        <w:t xml:space="preserve"> evidence__________________</w:t>
      </w:r>
      <w:r w:rsidRPr="00BF7FD7">
        <w:rPr>
          <w:rFonts w:ascii="Times New Roman" w:eastAsia="Times New Roman" w:hAnsi="Times New Roman" w:cs="Times New Roman"/>
          <w:sz w:val="24"/>
          <w:szCs w:val="24"/>
          <w:lang w:eastAsia="cs-CZ"/>
        </w:rPr>
        <w:softHyphen/>
        <w:t>___________________________  6</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4   Evidence</w:t>
      </w:r>
      <w:proofErr w:type="gramEnd"/>
      <w:r w:rsidRPr="00BF7FD7">
        <w:rPr>
          <w:rFonts w:ascii="Times New Roman" w:eastAsia="Times New Roman" w:hAnsi="Times New Roman" w:cs="Times New Roman"/>
          <w:sz w:val="24"/>
          <w:szCs w:val="24"/>
          <w:lang w:eastAsia="cs-CZ"/>
        </w:rPr>
        <w:t xml:space="preserve"> se spisovou značkou MOaP_______________________________6</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5   Ochrana</w:t>
      </w:r>
      <w:proofErr w:type="gramEnd"/>
      <w:r w:rsidRPr="00BF7FD7">
        <w:rPr>
          <w:rFonts w:ascii="Times New Roman" w:eastAsia="Times New Roman" w:hAnsi="Times New Roman" w:cs="Times New Roman"/>
          <w:sz w:val="24"/>
          <w:szCs w:val="24"/>
          <w:lang w:eastAsia="cs-CZ"/>
        </w:rPr>
        <w:t xml:space="preserve"> práv a osobních údajů klientů____________________________</w:t>
      </w:r>
      <w:r w:rsidRPr="00BF7FD7">
        <w:rPr>
          <w:rFonts w:ascii="Times New Roman" w:eastAsia="Times New Roman" w:hAnsi="Times New Roman" w:cs="Times New Roman"/>
          <w:sz w:val="24"/>
          <w:szCs w:val="24"/>
          <w:lang w:eastAsia="cs-CZ"/>
        </w:rPr>
        <w:softHyphen/>
      </w:r>
      <w:r w:rsidRPr="00BF7FD7">
        <w:rPr>
          <w:rFonts w:ascii="Times New Roman" w:eastAsia="Times New Roman" w:hAnsi="Times New Roman" w:cs="Times New Roman"/>
          <w:sz w:val="24"/>
          <w:szCs w:val="24"/>
          <w:lang w:eastAsia="cs-CZ"/>
        </w:rPr>
        <w:softHyphen/>
        <w:t>_  7</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6   Jednání</w:t>
      </w:r>
      <w:proofErr w:type="gramEnd"/>
      <w:r w:rsidRPr="00BF7FD7">
        <w:rPr>
          <w:rFonts w:ascii="Times New Roman" w:eastAsia="Times New Roman" w:hAnsi="Times New Roman" w:cs="Times New Roman"/>
          <w:sz w:val="24"/>
          <w:szCs w:val="24"/>
          <w:lang w:eastAsia="cs-CZ"/>
        </w:rPr>
        <w:t xml:space="preserve"> s klienty_______________________________________________ 7</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7   Zacházení</w:t>
      </w:r>
      <w:proofErr w:type="gramEnd"/>
      <w:r w:rsidRPr="00BF7FD7">
        <w:rPr>
          <w:rFonts w:ascii="Times New Roman" w:eastAsia="Times New Roman" w:hAnsi="Times New Roman" w:cs="Times New Roman"/>
          <w:sz w:val="24"/>
          <w:szCs w:val="24"/>
          <w:lang w:eastAsia="cs-CZ"/>
        </w:rPr>
        <w:t xml:space="preserve"> se spisovou dokumentací a nahlížení do ní</w:t>
      </w:r>
      <w:r w:rsidRPr="00BF7FD7">
        <w:rPr>
          <w:rFonts w:ascii="Times New Roman" w:eastAsia="Times New Roman" w:hAnsi="Times New Roman" w:cs="Times New Roman"/>
          <w:sz w:val="24"/>
          <w:szCs w:val="24"/>
          <w:lang w:eastAsia="cs-CZ"/>
        </w:rPr>
        <w:tab/>
        <w:t>________________ 7</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sz w:val="24"/>
          <w:szCs w:val="24"/>
          <w:lang w:eastAsia="cs-CZ"/>
        </w:rPr>
      </w:pPr>
      <w:proofErr w:type="gramStart"/>
      <w:r w:rsidRPr="00BF7FD7">
        <w:rPr>
          <w:rFonts w:ascii="Times New Roman" w:eastAsia="Times New Roman" w:hAnsi="Times New Roman" w:cs="Times New Roman"/>
          <w:sz w:val="24"/>
          <w:szCs w:val="24"/>
          <w:lang w:eastAsia="cs-CZ"/>
        </w:rPr>
        <w:t>Článek 8   Vedení</w:t>
      </w:r>
      <w:proofErr w:type="gramEnd"/>
      <w:r w:rsidRPr="00BF7FD7">
        <w:rPr>
          <w:rFonts w:ascii="Times New Roman" w:eastAsia="Times New Roman" w:hAnsi="Times New Roman" w:cs="Times New Roman"/>
          <w:sz w:val="24"/>
          <w:szCs w:val="24"/>
          <w:lang w:eastAsia="cs-CZ"/>
        </w:rPr>
        <w:t xml:space="preserve"> dokumentů_____________________________________________ 7</w:t>
      </w:r>
    </w:p>
    <w:p w:rsidR="00BF7FD7" w:rsidRPr="00BF7FD7" w:rsidRDefault="00BF7FD7" w:rsidP="00BF7FD7">
      <w:pPr>
        <w:tabs>
          <w:tab w:val="left" w:pos="-1276"/>
        </w:tabs>
        <w:spacing w:before="120" w:after="0" w:line="240" w:lineRule="auto"/>
        <w:outlineLvl w:val="0"/>
        <w:rPr>
          <w:rFonts w:ascii="Times New Roman" w:eastAsia="Times New Roman" w:hAnsi="Times New Roman" w:cs="Times New Roman"/>
          <w:lang w:eastAsia="cs-CZ"/>
        </w:rPr>
      </w:pPr>
      <w:proofErr w:type="gramStart"/>
      <w:r w:rsidRPr="00BF7FD7">
        <w:rPr>
          <w:rFonts w:ascii="Times New Roman" w:eastAsia="Times New Roman" w:hAnsi="Times New Roman" w:cs="Times New Roman"/>
          <w:sz w:val="24"/>
          <w:szCs w:val="24"/>
          <w:lang w:eastAsia="cs-CZ"/>
        </w:rPr>
        <w:t>Článek 9   Srozumitelnost</w:t>
      </w:r>
      <w:proofErr w:type="gramEnd"/>
      <w:r w:rsidRPr="00BF7FD7">
        <w:rPr>
          <w:rFonts w:ascii="Times New Roman" w:eastAsia="Times New Roman" w:hAnsi="Times New Roman" w:cs="Times New Roman"/>
          <w:sz w:val="24"/>
          <w:szCs w:val="24"/>
          <w:lang w:eastAsia="cs-CZ"/>
        </w:rPr>
        <w:t xml:space="preserve"> záznamů_________________________________________</w:t>
      </w:r>
      <w:r w:rsidRPr="00BF7FD7">
        <w:rPr>
          <w:rFonts w:ascii="Times New Roman" w:eastAsia="Times New Roman" w:hAnsi="Times New Roman" w:cs="Times New Roman"/>
          <w:lang w:eastAsia="cs-CZ"/>
        </w:rPr>
        <w:t xml:space="preserve"> 8</w:t>
      </w:r>
    </w:p>
    <w:p w:rsidR="00BF7FD7" w:rsidRPr="00BF7FD7" w:rsidRDefault="00BF7FD7" w:rsidP="00BF7FD7">
      <w:pPr>
        <w:spacing w:after="0" w:line="240" w:lineRule="auto"/>
        <w:jc w:val="both"/>
        <w:outlineLvl w:val="0"/>
        <w:rPr>
          <w:rFonts w:ascii="Times New Roman" w:eastAsia="Times New Roman" w:hAnsi="Times New Roman" w:cs="Times New Roman"/>
          <w:lang w:eastAsia="cs-CZ"/>
        </w:rPr>
      </w:pPr>
    </w:p>
    <w:p w:rsidR="00BF7FD7" w:rsidRPr="00BF7FD7" w:rsidRDefault="00BF7FD7" w:rsidP="00BF7FD7">
      <w:pPr>
        <w:spacing w:after="0" w:line="240" w:lineRule="auto"/>
        <w:jc w:val="both"/>
        <w:outlineLvl w:val="0"/>
        <w:rPr>
          <w:rFonts w:ascii="Times New Roman" w:eastAsia="Times New Roman" w:hAnsi="Times New Roman" w:cs="Times New Roman"/>
          <w:lang w:eastAsia="cs-CZ"/>
        </w:rPr>
      </w:pPr>
    </w:p>
    <w:p w:rsidR="00BF7FD7" w:rsidRPr="00BF7FD7" w:rsidRDefault="00BF7FD7" w:rsidP="00BF7FD7">
      <w:pPr>
        <w:spacing w:before="240" w:after="0" w:line="240" w:lineRule="auto"/>
        <w:outlineLvl w:val="0"/>
        <w:rPr>
          <w:rFonts w:ascii="Times New Roman" w:eastAsia="Calibri" w:hAnsi="Times New Roman" w:cs="Times New Roman"/>
          <w:sz w:val="24"/>
          <w:szCs w:val="24"/>
        </w:rPr>
      </w:pPr>
      <w:r w:rsidRPr="00BF7FD7">
        <w:rPr>
          <w:rFonts w:ascii="Arial" w:eastAsia="Times New Roman" w:hAnsi="Arial" w:cs="Arial"/>
          <w:b/>
          <w:sz w:val="24"/>
          <w:szCs w:val="24"/>
          <w:lang w:eastAsia="cs-CZ"/>
        </w:rPr>
        <w:t>Vymezení pojmů:</w:t>
      </w:r>
      <w:r w:rsidRPr="00BF7FD7">
        <w:rPr>
          <w:rFonts w:ascii="Times New Roman" w:eastAsia="Calibri" w:hAnsi="Times New Roman" w:cs="Times New Roman"/>
          <w:sz w:val="24"/>
          <w:szCs w:val="24"/>
        </w:rPr>
        <w:t xml:space="preserve"> </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Směrnice MPSV</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Směrnice ministerstva práce a sociálních věcí č. j.: 2013/26780-</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 xml:space="preserve">21 ze dne 19. září </w:t>
      </w:r>
      <w:proofErr w:type="gramStart"/>
      <w:r w:rsidRPr="00BF7FD7">
        <w:rPr>
          <w:rFonts w:ascii="Times New Roman" w:eastAsia="Calibri" w:hAnsi="Times New Roman" w:cs="Times New Roman"/>
          <w:sz w:val="24"/>
          <w:szCs w:val="24"/>
        </w:rPr>
        <w:t>2013, o  stanovení</w:t>
      </w:r>
      <w:proofErr w:type="gramEnd"/>
      <w:r w:rsidRPr="00BF7FD7">
        <w:rPr>
          <w:rFonts w:ascii="Times New Roman" w:eastAsia="Calibri" w:hAnsi="Times New Roman" w:cs="Times New Roman"/>
          <w:sz w:val="24"/>
          <w:szCs w:val="24"/>
        </w:rPr>
        <w:t xml:space="preserve">  rozsahu evidence dětí </w:t>
      </w:r>
      <w:r w:rsidRPr="00BF7FD7">
        <w:rPr>
          <w:rFonts w:ascii="Times New Roman" w:eastAsia="Calibri" w:hAnsi="Times New Roman" w:cs="Times New Roman"/>
          <w:sz w:val="24"/>
          <w:szCs w:val="24"/>
        </w:rPr>
        <w:br/>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a obsahu spisové dokumentace o dětech vedené orgány sociálně-</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 xml:space="preserve">právní ochrany dětí a o stanovení rozsahu evidence a obsahu </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 xml:space="preserve">spisové dokumentace </w:t>
      </w:r>
      <w:r w:rsidRPr="00BF7FD7">
        <w:rPr>
          <w:rFonts w:ascii="Times New Roman" w:eastAsia="Calibri" w:hAnsi="Times New Roman" w:cs="Times New Roman"/>
          <w:sz w:val="24"/>
          <w:szCs w:val="24"/>
        </w:rPr>
        <w:tab/>
        <w:t>v oblasti náhradní rodinné péče</w:t>
      </w:r>
    </w:p>
    <w:p w:rsidR="00BF7FD7" w:rsidRPr="00BF7FD7" w:rsidRDefault="00BF7FD7" w:rsidP="00BF7FD7">
      <w:pPr>
        <w:spacing w:before="120" w:after="0" w:line="240" w:lineRule="auto"/>
        <w:jc w:val="both"/>
        <w:rPr>
          <w:rFonts w:ascii="Times New Roman" w:eastAsia="Times New Roman" w:hAnsi="Times New Roman" w:cs="Times New Roman"/>
          <w:sz w:val="24"/>
          <w:szCs w:val="24"/>
          <w:lang w:eastAsia="cs-CZ"/>
        </w:rPr>
      </w:pPr>
      <w:r w:rsidRPr="00BF7FD7">
        <w:rPr>
          <w:rFonts w:ascii="Times New Roman" w:eastAsia="Calibri" w:hAnsi="Times New Roman" w:cs="Times New Roman"/>
          <w:sz w:val="24"/>
          <w:szCs w:val="24"/>
        </w:rPr>
        <w:t xml:space="preserve">Spisy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Times New Roman" w:hAnsi="Times New Roman" w:cs="Times New Roman"/>
          <w:sz w:val="24"/>
          <w:szCs w:val="24"/>
          <w:lang w:eastAsia="cs-CZ"/>
        </w:rPr>
        <w:t xml:space="preserve">zkratka pro „ochranu mládeže“ - spis nezletilého dítěte vedený </w:t>
      </w:r>
      <w:r w:rsidRPr="00BF7FD7">
        <w:rPr>
          <w:rFonts w:ascii="Times New Roman" w:eastAsia="Times New Roman" w:hAnsi="Times New Roman" w:cs="Times New Roman"/>
          <w:sz w:val="24"/>
          <w:szCs w:val="24"/>
          <w:lang w:eastAsia="cs-CZ"/>
        </w:rPr>
        <w:br/>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 xml:space="preserve">na místně </w:t>
      </w:r>
      <w:proofErr w:type="gramStart"/>
      <w:r w:rsidRPr="00BF7FD7">
        <w:rPr>
          <w:rFonts w:ascii="Times New Roman" w:eastAsia="Times New Roman" w:hAnsi="Times New Roman" w:cs="Times New Roman"/>
          <w:sz w:val="24"/>
          <w:szCs w:val="24"/>
          <w:lang w:eastAsia="cs-CZ"/>
        </w:rPr>
        <w:t>příslušném  úřadu</w:t>
      </w:r>
      <w:proofErr w:type="gramEnd"/>
      <w:r w:rsidRPr="00BF7FD7">
        <w:rPr>
          <w:rFonts w:ascii="Times New Roman" w:eastAsia="Times New Roman" w:hAnsi="Times New Roman" w:cs="Times New Roman"/>
          <w:sz w:val="24"/>
          <w:szCs w:val="24"/>
          <w:lang w:eastAsia="cs-CZ"/>
        </w:rPr>
        <w:t xml:space="preserve">. Místní příslušnost úřadu se řídí </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místem trvalého pobytu dítěte.</w:t>
      </w:r>
    </w:p>
    <w:p w:rsidR="00BF7FD7" w:rsidRPr="00BF7FD7" w:rsidRDefault="00BF7FD7" w:rsidP="00BF7FD7">
      <w:pPr>
        <w:spacing w:after="0" w:line="240" w:lineRule="auto"/>
        <w:jc w:val="both"/>
        <w:rPr>
          <w:rFonts w:ascii="Times New Roman" w:eastAsia="Times New Roman" w:hAnsi="Times New Roman" w:cs="Times New Roman"/>
          <w:sz w:val="24"/>
          <w:szCs w:val="24"/>
          <w:lang w:eastAsia="cs-CZ"/>
        </w:rPr>
      </w:pPr>
      <w:r w:rsidRPr="00BF7FD7">
        <w:rPr>
          <w:rFonts w:ascii="Times New Roman" w:eastAsia="Calibri" w:hAnsi="Times New Roman" w:cs="Times New Roman"/>
          <w:sz w:val="24"/>
          <w:szCs w:val="24"/>
        </w:rPr>
        <w:t xml:space="preserve">Spisy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proofErr w:type="gramStart"/>
      <w:r w:rsidRPr="00BF7FD7">
        <w:rPr>
          <w:rFonts w:ascii="Times New Roman" w:eastAsia="Times New Roman" w:hAnsi="Times New Roman" w:cs="Times New Roman"/>
          <w:sz w:val="24"/>
          <w:szCs w:val="24"/>
          <w:lang w:eastAsia="cs-CZ"/>
        </w:rPr>
        <w:t>zkratka  pro</w:t>
      </w:r>
      <w:proofErr w:type="gramEnd"/>
      <w:r w:rsidRPr="00BF7FD7">
        <w:rPr>
          <w:rFonts w:ascii="Times New Roman" w:eastAsia="Times New Roman" w:hAnsi="Times New Roman" w:cs="Times New Roman"/>
          <w:sz w:val="24"/>
          <w:szCs w:val="24"/>
          <w:lang w:eastAsia="cs-CZ"/>
        </w:rPr>
        <w:t xml:space="preserve">  „nepříslušnou  ochranu  mládeže“ - jedná se </w:t>
      </w:r>
      <w:r w:rsidRPr="00BF7FD7">
        <w:rPr>
          <w:rFonts w:ascii="Times New Roman" w:eastAsia="Times New Roman" w:hAnsi="Times New Roman" w:cs="Times New Roman"/>
          <w:sz w:val="24"/>
          <w:szCs w:val="24"/>
          <w:lang w:eastAsia="cs-CZ"/>
        </w:rPr>
        <w:br/>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 xml:space="preserve">o nezletilé dítě, které nemá trvalé bydliště v obvodu úřadu, kde </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 xml:space="preserve">se fakticky zdržuje. Zdejší úřad vyřizuje záležitosti tohoto dítěte </w:t>
      </w:r>
      <w:r w:rsidRPr="00BF7FD7">
        <w:rPr>
          <w:rFonts w:ascii="Times New Roman" w:eastAsia="Times New Roman" w:hAnsi="Times New Roman" w:cs="Times New Roman"/>
          <w:sz w:val="24"/>
          <w:szCs w:val="24"/>
          <w:lang w:eastAsia="cs-CZ"/>
        </w:rPr>
        <w:br/>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 xml:space="preserve">na dožádání úřadu, který je místně příslušný, popřípadě jiného </w:t>
      </w:r>
    </w:p>
    <w:p w:rsidR="00BF7FD7" w:rsidRPr="00BF7FD7" w:rsidRDefault="00BF7FD7" w:rsidP="00BF7FD7">
      <w:pPr>
        <w:spacing w:after="0" w:line="240" w:lineRule="auto"/>
        <w:jc w:val="both"/>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 xml:space="preserve">                                               orgánu nebo instituce.</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Times New Roman" w:hAnsi="Times New Roman" w:cs="Times New Roman"/>
          <w:sz w:val="24"/>
          <w:szCs w:val="24"/>
          <w:lang w:eastAsia="cs-CZ"/>
        </w:rPr>
        <w:t xml:space="preserve">Zákon o SPOD          </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proofErr w:type="gramStart"/>
      <w:r w:rsidRPr="00BF7FD7">
        <w:rPr>
          <w:rFonts w:ascii="Times New Roman" w:eastAsia="Calibri" w:hAnsi="Times New Roman" w:cs="Times New Roman"/>
          <w:sz w:val="24"/>
          <w:szCs w:val="24"/>
        </w:rPr>
        <w:t>Zákon</w:t>
      </w:r>
      <w:proofErr w:type="gramEnd"/>
      <w:r w:rsidRPr="00BF7FD7">
        <w:rPr>
          <w:rFonts w:ascii="Times New Roman" w:eastAsia="Calibri" w:hAnsi="Times New Roman" w:cs="Times New Roman"/>
          <w:sz w:val="24"/>
          <w:szCs w:val="24"/>
        </w:rPr>
        <w:t xml:space="preserve"> č. 359/1999 Sb., o sociálně-právní ochraně dětí, ve znění </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pozdějších předpisů</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Spisový řád</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 xml:space="preserve">RAD 2013-01, Spisový řád </w:t>
      </w:r>
      <w:proofErr w:type="spellStart"/>
      <w:r w:rsidRPr="00BF7FD7">
        <w:rPr>
          <w:rFonts w:ascii="Times New Roman" w:eastAsia="Calibri" w:hAnsi="Times New Roman" w:cs="Times New Roman"/>
          <w:sz w:val="24"/>
          <w:szCs w:val="24"/>
        </w:rPr>
        <w:t>ÚMOb</w:t>
      </w:r>
      <w:proofErr w:type="spellEnd"/>
      <w:r w:rsidRPr="00BF7FD7">
        <w:rPr>
          <w:rFonts w:ascii="Times New Roman" w:eastAsia="Calibri" w:hAnsi="Times New Roman" w:cs="Times New Roman"/>
          <w:sz w:val="24"/>
          <w:szCs w:val="24"/>
        </w:rPr>
        <w:t xml:space="preserve"> MOaP </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Times New Roman" w:hAnsi="Times New Roman" w:cs="Times New Roman"/>
          <w:sz w:val="24"/>
          <w:szCs w:val="24"/>
          <w:lang w:eastAsia="cs-CZ"/>
        </w:rPr>
        <w:t>Metodický pokyn MMO</w:t>
      </w:r>
      <w:r w:rsidRPr="00BF7FD7">
        <w:rPr>
          <w:rFonts w:ascii="Times New Roman" w:eastAsia="Times New Roman" w:hAnsi="Times New Roman" w:cs="Times New Roman"/>
          <w:sz w:val="24"/>
          <w:szCs w:val="24"/>
          <w:lang w:eastAsia="cs-CZ"/>
        </w:rPr>
        <w:tab/>
      </w:r>
      <w:proofErr w:type="gramStart"/>
      <w:r w:rsidRPr="00BF7FD7">
        <w:rPr>
          <w:rFonts w:ascii="Times New Roman" w:eastAsia="Calibri" w:hAnsi="Times New Roman" w:cs="Times New Roman"/>
          <w:sz w:val="24"/>
          <w:szCs w:val="24"/>
        </w:rPr>
        <w:t>Metodický   pokyn</w:t>
      </w:r>
      <w:proofErr w:type="gramEnd"/>
      <w:r w:rsidRPr="00BF7FD7">
        <w:rPr>
          <w:rFonts w:ascii="Times New Roman" w:eastAsia="Calibri" w:hAnsi="Times New Roman" w:cs="Times New Roman"/>
          <w:sz w:val="24"/>
          <w:szCs w:val="24"/>
        </w:rPr>
        <w:t xml:space="preserve">   Magistrátu   města  Ostravy č. 1/2011 </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 xml:space="preserve">k zadávání údajů do Informačního systému Systém včasné </w:t>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r>
      <w:r w:rsidRPr="00BF7FD7">
        <w:rPr>
          <w:rFonts w:ascii="Times New Roman" w:eastAsia="Calibri" w:hAnsi="Times New Roman" w:cs="Times New Roman"/>
          <w:sz w:val="24"/>
          <w:szCs w:val="24"/>
        </w:rPr>
        <w:tab/>
        <w:t>intervence</w:t>
      </w:r>
    </w:p>
    <w:p w:rsidR="00BF7FD7" w:rsidRPr="00BF7FD7" w:rsidRDefault="00BF7FD7" w:rsidP="00BF7FD7">
      <w:pPr>
        <w:spacing w:before="120" w:after="0" w:line="240" w:lineRule="auto"/>
        <w:ind w:left="2835" w:hanging="2835"/>
        <w:jc w:val="both"/>
        <w:rPr>
          <w:rFonts w:ascii="Times New Roman" w:eastAsia="Calibri" w:hAnsi="Times New Roman" w:cs="Times New Roman"/>
          <w:sz w:val="24"/>
          <w:szCs w:val="24"/>
        </w:rPr>
      </w:pPr>
      <w:r w:rsidRPr="00BF7FD7">
        <w:rPr>
          <w:rFonts w:ascii="Times New Roman" w:eastAsia="Times New Roman" w:hAnsi="Times New Roman" w:cs="Times New Roman"/>
          <w:sz w:val="24"/>
          <w:szCs w:val="24"/>
          <w:lang w:eastAsia="cs-CZ"/>
        </w:rPr>
        <w:t>Etický kodex</w:t>
      </w:r>
      <w:r w:rsidRPr="00BF7FD7">
        <w:rPr>
          <w:rFonts w:ascii="Times New Roman" w:eastAsia="Times New Roman" w:hAnsi="Times New Roman" w:cs="Times New Roman"/>
          <w:sz w:val="24"/>
          <w:szCs w:val="24"/>
          <w:lang w:eastAsia="cs-CZ"/>
        </w:rPr>
        <w:tab/>
      </w:r>
      <w:r w:rsidRPr="00BF7FD7">
        <w:rPr>
          <w:rFonts w:ascii="Times New Roman" w:eastAsia="Calibri" w:hAnsi="Times New Roman" w:cs="Times New Roman"/>
          <w:sz w:val="24"/>
          <w:szCs w:val="24"/>
        </w:rPr>
        <w:t xml:space="preserve">Etický kodex zaměstnanců Statutárního města Ostrava zařazených do Úřadu městského obvodu Moravská Ostrava </w:t>
      </w:r>
      <w:r w:rsidRPr="00BF7FD7">
        <w:rPr>
          <w:rFonts w:ascii="Times New Roman" w:eastAsia="Calibri" w:hAnsi="Times New Roman" w:cs="Times New Roman"/>
          <w:sz w:val="24"/>
          <w:szCs w:val="24"/>
        </w:rPr>
        <w:br/>
        <w:t xml:space="preserve">a Přívoz </w:t>
      </w:r>
    </w:p>
    <w:p w:rsidR="00BF7FD7" w:rsidRPr="00BF7FD7" w:rsidRDefault="00BF7FD7" w:rsidP="00BF7FD7">
      <w:pPr>
        <w:spacing w:after="0" w:line="240" w:lineRule="auto"/>
        <w:jc w:val="both"/>
        <w:rPr>
          <w:rFonts w:ascii="Times New Roman" w:eastAsia="Times New Roman" w:hAnsi="Times New Roman" w:cs="Times New Roman"/>
          <w:sz w:val="24"/>
          <w:szCs w:val="24"/>
          <w:lang w:eastAsia="cs-CZ"/>
        </w:rPr>
      </w:pPr>
    </w:p>
    <w:p w:rsidR="00BF7FD7" w:rsidRPr="00BF7FD7" w:rsidRDefault="00BF7FD7" w:rsidP="00BF7FD7">
      <w:pPr>
        <w:tabs>
          <w:tab w:val="left" w:pos="2280"/>
        </w:tabs>
        <w:spacing w:before="60" w:after="0" w:line="240" w:lineRule="auto"/>
        <w:outlineLvl w:val="0"/>
        <w:rPr>
          <w:rFonts w:ascii="Times New Roman" w:eastAsia="Times New Roman" w:hAnsi="Times New Roman" w:cs="Times New Roman"/>
          <w:sz w:val="24"/>
          <w:szCs w:val="24"/>
          <w:lang w:eastAsia="cs-CZ"/>
        </w:rPr>
      </w:pPr>
    </w:p>
    <w:p w:rsidR="00BF7FD7" w:rsidRPr="00BF7FD7" w:rsidRDefault="00BF7FD7" w:rsidP="00BF7FD7">
      <w:pPr>
        <w:tabs>
          <w:tab w:val="left" w:pos="2280"/>
        </w:tabs>
        <w:spacing w:before="60" w:after="0" w:line="240" w:lineRule="auto"/>
        <w:outlineLvl w:val="0"/>
        <w:rPr>
          <w:rFonts w:ascii="Times New Roman" w:eastAsia="Times New Roman" w:hAnsi="Times New Roman" w:cs="Times New Roman"/>
          <w:sz w:val="24"/>
          <w:szCs w:val="24"/>
          <w:lang w:eastAsia="cs-CZ"/>
        </w:rPr>
      </w:pPr>
    </w:p>
    <w:p w:rsidR="00BF7FD7" w:rsidRPr="00BF7FD7" w:rsidRDefault="00BF7FD7" w:rsidP="00BF7FD7">
      <w:pPr>
        <w:tabs>
          <w:tab w:val="left" w:pos="2280"/>
        </w:tabs>
        <w:spacing w:before="60" w:after="0" w:line="240" w:lineRule="auto"/>
        <w:outlineLvl w:val="0"/>
        <w:rPr>
          <w:rFonts w:ascii="Times New Roman" w:eastAsia="Times New Roman" w:hAnsi="Times New Roman" w:cs="Times New Roman"/>
          <w:sz w:val="24"/>
          <w:szCs w:val="24"/>
          <w:lang w:eastAsia="cs-CZ"/>
        </w:rPr>
      </w:pPr>
    </w:p>
    <w:p w:rsidR="00BF7FD7" w:rsidRDefault="00BF7FD7" w:rsidP="00BF7FD7">
      <w:pPr>
        <w:tabs>
          <w:tab w:val="left" w:pos="2280"/>
        </w:tabs>
        <w:spacing w:before="60" w:after="0" w:line="240" w:lineRule="auto"/>
        <w:outlineLvl w:val="0"/>
        <w:rPr>
          <w:rFonts w:ascii="Times New Roman" w:eastAsia="Times New Roman" w:hAnsi="Times New Roman" w:cs="Times New Roman"/>
          <w:sz w:val="24"/>
          <w:szCs w:val="24"/>
          <w:lang w:eastAsia="cs-CZ"/>
        </w:rPr>
      </w:pPr>
    </w:p>
    <w:p w:rsidR="00995EB5" w:rsidRPr="00BF7FD7" w:rsidRDefault="00995EB5" w:rsidP="00BF7FD7">
      <w:pPr>
        <w:tabs>
          <w:tab w:val="left" w:pos="2280"/>
        </w:tabs>
        <w:spacing w:before="60" w:after="0" w:line="240" w:lineRule="auto"/>
        <w:outlineLvl w:val="0"/>
        <w:rPr>
          <w:rFonts w:ascii="Times New Roman" w:eastAsia="Times New Roman" w:hAnsi="Times New Roman" w:cs="Times New Roman"/>
          <w:sz w:val="24"/>
          <w:szCs w:val="24"/>
          <w:lang w:eastAsia="cs-CZ"/>
        </w:rPr>
      </w:pPr>
    </w:p>
    <w:p w:rsidR="00BF7FD7" w:rsidRPr="00BF7FD7" w:rsidRDefault="00BF7FD7" w:rsidP="00BF7FD7">
      <w:pPr>
        <w:spacing w:before="120" w:after="0" w:line="240" w:lineRule="auto"/>
        <w:outlineLvl w:val="0"/>
        <w:rPr>
          <w:rFonts w:ascii="Arial" w:eastAsia="Times New Roman" w:hAnsi="Arial" w:cs="Arial"/>
          <w:b/>
          <w:sz w:val="24"/>
          <w:szCs w:val="24"/>
          <w:lang w:eastAsia="cs-CZ"/>
        </w:rPr>
      </w:pPr>
      <w:r w:rsidRPr="00BF7FD7">
        <w:rPr>
          <w:rFonts w:ascii="Arial" w:eastAsia="Times New Roman" w:hAnsi="Arial" w:cs="Arial"/>
          <w:b/>
          <w:sz w:val="24"/>
          <w:szCs w:val="24"/>
          <w:lang w:eastAsia="cs-CZ"/>
        </w:rPr>
        <w:lastRenderedPageBreak/>
        <w:t>Použité zkratky:</w:t>
      </w:r>
    </w:p>
    <w:p w:rsidR="00BF7FD7" w:rsidRPr="00BF7FD7" w:rsidRDefault="00BF7FD7" w:rsidP="00BF7FD7">
      <w:pPr>
        <w:spacing w:before="120" w:after="0" w:line="240" w:lineRule="auto"/>
        <w:outlineLvl w:val="0"/>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MOaP</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Moravská Ostrava a Přívoz</w:t>
      </w:r>
    </w:p>
    <w:p w:rsidR="00BF7FD7" w:rsidRPr="00BF7FD7" w:rsidRDefault="00BF7FD7" w:rsidP="00BF7FD7">
      <w:pPr>
        <w:spacing w:before="120" w:after="0" w:line="240" w:lineRule="auto"/>
        <w:outlineLvl w:val="0"/>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OSPOD</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oddělení sociálně-právní ochrany dětí</w:t>
      </w:r>
    </w:p>
    <w:p w:rsidR="00BF7FD7" w:rsidRPr="00BF7FD7" w:rsidRDefault="00BF7FD7" w:rsidP="00BF7FD7">
      <w:pPr>
        <w:spacing w:before="120" w:after="0" w:line="240" w:lineRule="auto"/>
        <w:outlineLvl w:val="0"/>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SPOD</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proofErr w:type="gramStart"/>
      <w:r w:rsidRPr="00BF7FD7">
        <w:rPr>
          <w:rFonts w:ascii="Times New Roman" w:eastAsia="Times New Roman" w:hAnsi="Times New Roman" w:cs="Times New Roman"/>
          <w:sz w:val="24"/>
          <w:szCs w:val="24"/>
          <w:lang w:eastAsia="cs-CZ"/>
        </w:rPr>
        <w:t>sociálně-právní ochrana</w:t>
      </w:r>
      <w:proofErr w:type="gramEnd"/>
      <w:r w:rsidRPr="00BF7FD7">
        <w:rPr>
          <w:rFonts w:ascii="Times New Roman" w:eastAsia="Times New Roman" w:hAnsi="Times New Roman" w:cs="Times New Roman"/>
          <w:sz w:val="24"/>
          <w:szCs w:val="24"/>
          <w:lang w:eastAsia="cs-CZ"/>
        </w:rPr>
        <w:t xml:space="preserve"> dětí</w:t>
      </w:r>
    </w:p>
    <w:p w:rsidR="00BF7FD7" w:rsidRPr="00BF7FD7" w:rsidRDefault="00BF7FD7" w:rsidP="00BF7FD7">
      <w:pPr>
        <w:spacing w:before="120" w:after="0" w:line="240" w:lineRule="auto"/>
        <w:outlineLvl w:val="0"/>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SVI</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t>systém včasné intervence</w:t>
      </w:r>
    </w:p>
    <w:p w:rsidR="00BF7FD7" w:rsidRPr="00BF7FD7" w:rsidRDefault="00BF7FD7" w:rsidP="00BF7FD7">
      <w:pPr>
        <w:spacing w:before="120" w:after="0" w:line="240" w:lineRule="auto"/>
        <w:outlineLvl w:val="0"/>
        <w:rPr>
          <w:rFonts w:ascii="Arial" w:eastAsia="Times New Roman" w:hAnsi="Arial" w:cs="Arial"/>
          <w:b/>
          <w:sz w:val="24"/>
          <w:szCs w:val="24"/>
          <w:lang w:eastAsia="cs-CZ"/>
        </w:rPr>
      </w:pPr>
    </w:p>
    <w:p w:rsidR="00BF7FD7" w:rsidRPr="00BF7FD7" w:rsidRDefault="00BF7FD7" w:rsidP="00BF7FD7">
      <w:pPr>
        <w:spacing w:before="120" w:after="0" w:line="240" w:lineRule="auto"/>
        <w:outlineLvl w:val="0"/>
        <w:rPr>
          <w:rFonts w:ascii="Arial" w:eastAsia="Times New Roman" w:hAnsi="Arial" w:cs="Arial"/>
          <w:b/>
          <w:sz w:val="24"/>
          <w:szCs w:val="24"/>
          <w:lang w:eastAsia="cs-CZ"/>
        </w:rPr>
      </w:pPr>
      <w:r w:rsidRPr="00BF7FD7">
        <w:rPr>
          <w:rFonts w:ascii="Arial" w:eastAsia="Times New Roman" w:hAnsi="Arial" w:cs="Arial"/>
          <w:b/>
          <w:sz w:val="24"/>
          <w:szCs w:val="24"/>
          <w:lang w:eastAsia="cs-CZ"/>
        </w:rPr>
        <w:t>Související předpisy a dokumenty:</w:t>
      </w:r>
    </w:p>
    <w:p w:rsidR="00BF7FD7" w:rsidRPr="00BF7FD7" w:rsidRDefault="00BF7FD7" w:rsidP="00BF7FD7">
      <w:pPr>
        <w:spacing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 Směrnice Ministerstva práce a sociálních věcí č. j.: 2013/26780-21 ze dne 19. září 2013, </w:t>
      </w:r>
      <w:r w:rsidRPr="00BF7FD7">
        <w:rPr>
          <w:rFonts w:ascii="Times New Roman" w:eastAsia="Calibri" w:hAnsi="Times New Roman" w:cs="Times New Roman"/>
          <w:sz w:val="24"/>
          <w:szCs w:val="24"/>
        </w:rPr>
        <w:br/>
        <w:t>o stanovení rozsahu evidence dětí a obsahu spisové dokumentace o dětech vedené orgány sociálně-právní ochrany dětí a o stanovení rozsahu evidence a obsahu spisové dokumentace v oblasti náhradní rodinné péče</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Zákon č. 359/1999 Sb., o sociálně-právní ochraně dětí, ve znění pozdějších předpisů</w:t>
      </w:r>
    </w:p>
    <w:p w:rsidR="00BF7FD7" w:rsidRPr="00BF7FD7" w:rsidRDefault="00BF7FD7" w:rsidP="00BF7FD7">
      <w:pPr>
        <w:spacing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 RAD 2013-01, Spisový řád </w:t>
      </w:r>
      <w:proofErr w:type="spellStart"/>
      <w:r w:rsidRPr="00BF7FD7">
        <w:rPr>
          <w:rFonts w:ascii="Times New Roman" w:eastAsia="Calibri" w:hAnsi="Times New Roman" w:cs="Times New Roman"/>
          <w:sz w:val="24"/>
          <w:szCs w:val="24"/>
        </w:rPr>
        <w:t>ÚMOb</w:t>
      </w:r>
      <w:proofErr w:type="spellEnd"/>
      <w:r w:rsidRPr="00BF7FD7">
        <w:rPr>
          <w:rFonts w:ascii="Times New Roman" w:eastAsia="Calibri" w:hAnsi="Times New Roman" w:cs="Times New Roman"/>
          <w:sz w:val="24"/>
          <w:szCs w:val="24"/>
        </w:rPr>
        <w:t xml:space="preserve"> MOaP </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Etický kodex zaměstnanců Statutárního města Ostrava zařazených do Úřadu městského obvodu Moravská Ostrava a Přívoz – vnitřní předpis</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Metodický pokyn Magistrátu města Ostravy č. 1/2011 k zadávání údajů do Informačního systému Systém včasné intervence</w:t>
      </w: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Default="00BF7FD7" w:rsidP="00BF7FD7">
      <w:pPr>
        <w:spacing w:after="0" w:line="240" w:lineRule="auto"/>
        <w:jc w:val="both"/>
        <w:rPr>
          <w:rFonts w:ascii="Times New Roman" w:eastAsia="Times New Roman" w:hAnsi="Times New Roman" w:cs="Times New Roman"/>
          <w:lang w:eastAsia="cs-CZ"/>
        </w:rPr>
      </w:pPr>
    </w:p>
    <w:p w:rsidR="00995EB5" w:rsidRDefault="00995EB5" w:rsidP="00BF7FD7">
      <w:pPr>
        <w:spacing w:after="0" w:line="240" w:lineRule="auto"/>
        <w:jc w:val="both"/>
        <w:rPr>
          <w:rFonts w:ascii="Times New Roman" w:eastAsia="Times New Roman" w:hAnsi="Times New Roman" w:cs="Times New Roman"/>
          <w:lang w:eastAsia="cs-CZ"/>
        </w:rPr>
      </w:pPr>
    </w:p>
    <w:p w:rsidR="00995EB5" w:rsidRPr="00BF7FD7" w:rsidRDefault="00995EB5" w:rsidP="00BF7FD7">
      <w:pPr>
        <w:spacing w:after="0" w:line="240" w:lineRule="auto"/>
        <w:jc w:val="both"/>
        <w:rPr>
          <w:rFonts w:ascii="Times New Roman" w:eastAsia="Times New Roman" w:hAnsi="Times New Roman" w:cs="Times New Roman"/>
          <w:lang w:eastAsia="cs-CZ"/>
        </w:rPr>
      </w:pPr>
      <w:bookmarkStart w:id="0" w:name="_GoBack"/>
      <w:bookmarkEnd w:id="0"/>
    </w:p>
    <w:p w:rsidR="00BF7FD7" w:rsidRPr="00BF7FD7" w:rsidRDefault="00BF7FD7" w:rsidP="00BF7FD7">
      <w:pPr>
        <w:spacing w:after="0" w:line="240" w:lineRule="auto"/>
        <w:jc w:val="both"/>
        <w:rPr>
          <w:rFonts w:ascii="Times New Roman" w:eastAsia="Times New Roman" w:hAnsi="Times New Roman" w:cs="Times New Roman"/>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lastRenderedPageBreak/>
        <w:t>Článek 1</w:t>
      </w: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Úvodní ustanovení</w:t>
      </w:r>
    </w:p>
    <w:p w:rsidR="00BF7FD7" w:rsidRPr="00BF7FD7" w:rsidRDefault="00BF7FD7" w:rsidP="00BF7FD7">
      <w:pPr>
        <w:numPr>
          <w:ilvl w:val="0"/>
          <w:numId w:val="2"/>
        </w:numPr>
        <w:spacing w:before="120" w:after="0" w:line="240" w:lineRule="auto"/>
        <w:ind w:left="284" w:hanging="284"/>
        <w:jc w:val="both"/>
        <w:rPr>
          <w:rFonts w:ascii="Times New Roman" w:eastAsia="Times New Roman" w:hAnsi="Times New Roman" w:cs="Times New Roman"/>
          <w:sz w:val="24"/>
          <w:szCs w:val="24"/>
          <w:lang w:eastAsia="cs-CZ"/>
        </w:rPr>
      </w:pPr>
      <w:r w:rsidRPr="00BF7FD7">
        <w:rPr>
          <w:rFonts w:ascii="Times New Roman" w:eastAsia="Calibri" w:hAnsi="Times New Roman" w:cs="Times New Roman"/>
          <w:sz w:val="24"/>
          <w:szCs w:val="24"/>
        </w:rPr>
        <w:t xml:space="preserve">Tento pokyn se vydává s cílem zavést jednotný systém zdokumentování všech </w:t>
      </w:r>
      <w:r w:rsidRPr="00BF7FD7">
        <w:rPr>
          <w:rFonts w:ascii="Times New Roman" w:eastAsia="Times New Roman" w:hAnsi="Times New Roman" w:cs="Times New Roman"/>
          <w:sz w:val="24"/>
          <w:szCs w:val="24"/>
          <w:lang w:eastAsia="cs-CZ"/>
        </w:rPr>
        <w:t xml:space="preserve">úkonů OSPOD, zajistit efektivní zacházení s informacemi, uspořádání údajů, záznamů </w:t>
      </w:r>
      <w:r w:rsidRPr="00BF7FD7">
        <w:rPr>
          <w:rFonts w:ascii="Times New Roman" w:eastAsia="Times New Roman" w:hAnsi="Times New Roman" w:cs="Times New Roman"/>
          <w:sz w:val="24"/>
          <w:szCs w:val="24"/>
          <w:lang w:eastAsia="cs-CZ"/>
        </w:rPr>
        <w:br/>
        <w:t xml:space="preserve">a dokumentů, uplatňovat jednotnou strukturu spisů </w:t>
      </w:r>
      <w:proofErr w:type="spellStart"/>
      <w:r w:rsidRPr="00BF7FD7">
        <w:rPr>
          <w:rFonts w:ascii="Times New Roman" w:eastAsia="Times New Roman" w:hAnsi="Times New Roman" w:cs="Times New Roman"/>
          <w:sz w:val="24"/>
          <w:szCs w:val="24"/>
          <w:lang w:eastAsia="cs-CZ"/>
        </w:rPr>
        <w:t>Om</w:t>
      </w:r>
      <w:proofErr w:type="spellEnd"/>
      <w:r w:rsidRPr="00BF7FD7">
        <w:rPr>
          <w:rFonts w:ascii="Times New Roman" w:eastAsia="Times New Roman" w:hAnsi="Times New Roman" w:cs="Times New Roman"/>
          <w:sz w:val="24"/>
          <w:szCs w:val="24"/>
          <w:lang w:eastAsia="cs-CZ"/>
        </w:rPr>
        <w:t xml:space="preserve"> a zabezpečit odborné poskytování sociálně-právní ochrany se zřetelem na respektování práv klientů a ochranu jejich osobních údajů. Současně je cílem pokynu zajistit maximální srozumitelnost záznamů pro klienta.</w:t>
      </w:r>
    </w:p>
    <w:p w:rsidR="00BF7FD7" w:rsidRPr="00BF7FD7" w:rsidRDefault="00BF7FD7" w:rsidP="00BF7FD7">
      <w:pPr>
        <w:numPr>
          <w:ilvl w:val="0"/>
          <w:numId w:val="2"/>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Times New Roman" w:hAnsi="Times New Roman" w:cs="Times New Roman"/>
          <w:sz w:val="24"/>
          <w:szCs w:val="24"/>
          <w:lang w:eastAsia="cs-CZ"/>
        </w:rPr>
        <w:t>Pokyn vychází z příslušné s</w:t>
      </w:r>
      <w:r w:rsidRPr="00BF7FD7">
        <w:rPr>
          <w:rFonts w:ascii="Times New Roman" w:eastAsia="Calibri" w:hAnsi="Times New Roman" w:cs="Times New Roman"/>
          <w:sz w:val="24"/>
          <w:szCs w:val="24"/>
        </w:rPr>
        <w:t xml:space="preserve">měrnice MPSV a zákona o </w:t>
      </w:r>
      <w:proofErr w:type="gramStart"/>
      <w:r w:rsidRPr="00BF7FD7">
        <w:rPr>
          <w:rFonts w:ascii="Times New Roman" w:eastAsia="Calibri" w:hAnsi="Times New Roman" w:cs="Times New Roman"/>
          <w:sz w:val="24"/>
          <w:szCs w:val="24"/>
        </w:rPr>
        <w:t>SPOD</w:t>
      </w:r>
      <w:proofErr w:type="gramEnd"/>
      <w:r w:rsidRPr="00BF7FD7">
        <w:rPr>
          <w:rFonts w:ascii="Times New Roman" w:eastAsia="Calibri" w:hAnsi="Times New Roman" w:cs="Times New Roman"/>
          <w:sz w:val="24"/>
          <w:szCs w:val="24"/>
        </w:rPr>
        <w:t>.</w:t>
      </w:r>
    </w:p>
    <w:p w:rsidR="00BF7FD7" w:rsidRPr="00BF7FD7" w:rsidRDefault="00BF7FD7" w:rsidP="00BF7FD7">
      <w:pPr>
        <w:spacing w:after="0" w:line="240" w:lineRule="auto"/>
        <w:jc w:val="both"/>
        <w:rPr>
          <w:rFonts w:ascii="Arial" w:eastAsia="Times New Roman" w:hAnsi="Arial" w:cs="Arial"/>
          <w:b/>
          <w:sz w:val="24"/>
          <w:szCs w:val="24"/>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2</w:t>
      </w: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Základní evidence</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1) Základní evidenci tvoří:</w:t>
      </w:r>
    </w:p>
    <w:p w:rsidR="00BF7FD7" w:rsidRPr="00BF7FD7" w:rsidRDefault="00BF7FD7" w:rsidP="00BF7FD7">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BF7FD7">
        <w:rPr>
          <w:rFonts w:ascii="Arial" w:eastAsia="Calibri" w:hAnsi="Arial" w:cs="Arial"/>
          <w:b/>
          <w:sz w:val="20"/>
          <w:szCs w:val="20"/>
        </w:rPr>
        <w:t xml:space="preserve">jmenná kartotéka </w:t>
      </w:r>
      <w:r w:rsidRPr="00BF7FD7">
        <w:rPr>
          <w:rFonts w:ascii="Times New Roman" w:eastAsia="Calibri" w:hAnsi="Times New Roman" w:cs="Times New Roman"/>
          <w:sz w:val="24"/>
          <w:szCs w:val="24"/>
        </w:rPr>
        <w:t xml:space="preserve">dětí  - kartičky, jejichž vzor je uveden v příloze č. 2 směrnice MPSV, </w:t>
      </w:r>
      <w:r w:rsidRPr="00BF7FD7">
        <w:rPr>
          <w:rFonts w:ascii="Times New Roman" w:eastAsia="Calibri" w:hAnsi="Times New Roman" w:cs="Times New Roman"/>
          <w:sz w:val="24"/>
          <w:szCs w:val="24"/>
        </w:rPr>
        <w:br/>
        <w:t>ve které je také uvedeno, které údaje mají být na kartičce vyplněny. Jmenná kartotéka je umístěna v krabicích, do kterých jsou kartičky řazeny abecedně podle příjmení dítěte. Každé dítě vedené v evidenci má svoji kartičku v kartotéce. Krabice s kartotékou jsou umístěny ve spisovně OSPOD.</w:t>
      </w:r>
    </w:p>
    <w:p w:rsidR="00BF7FD7" w:rsidRPr="00BF7FD7" w:rsidRDefault="00BF7FD7" w:rsidP="00BF7FD7">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BF7FD7">
        <w:rPr>
          <w:rFonts w:ascii="Arial" w:eastAsia="Calibri" w:hAnsi="Arial" w:cs="Arial"/>
          <w:b/>
          <w:sz w:val="20"/>
          <w:szCs w:val="20"/>
        </w:rPr>
        <w:t xml:space="preserve">rejstřík </w:t>
      </w:r>
      <w:proofErr w:type="spellStart"/>
      <w:r w:rsidRPr="00BF7FD7">
        <w:rPr>
          <w:rFonts w:ascii="Arial" w:eastAsia="Calibri" w:hAnsi="Arial" w:cs="Arial"/>
          <w:b/>
          <w:sz w:val="20"/>
          <w:szCs w:val="20"/>
        </w:rPr>
        <w:t>Om</w:t>
      </w:r>
      <w:proofErr w:type="spellEnd"/>
      <w:r w:rsidRPr="00BF7FD7">
        <w:rPr>
          <w:rFonts w:ascii="Times New Roman" w:eastAsia="Calibri" w:hAnsi="Times New Roman" w:cs="Times New Roman"/>
          <w:sz w:val="24"/>
          <w:szCs w:val="24"/>
        </w:rPr>
        <w:t xml:space="preserve"> dětí, které jsou vedeny v evidenci OSPOD, je veden na formulářích, jejichž vzor je součástí směrnice MPSV. Rejstříky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za jednotlivé roky jsou seřazeny podle dat </w:t>
      </w:r>
      <w:r w:rsidRPr="00BF7FD7">
        <w:rPr>
          <w:rFonts w:ascii="Times New Roman" w:eastAsia="Calibri" w:hAnsi="Times New Roman" w:cs="Times New Roman"/>
          <w:sz w:val="24"/>
          <w:szCs w:val="24"/>
        </w:rPr>
        <w:br/>
        <w:t>ve spisovém obalu, který je označen rokem, ve kterém byl rejstřík založen, a názvem rejstříku. Stejné rejstříky za jednotlivé roky seřazené ve spisových obalech jsou založeny do označených šanonů, které jsou uloženy ve spisovně OSPOD.</w:t>
      </w:r>
    </w:p>
    <w:p w:rsidR="00BF7FD7" w:rsidRPr="00BF7FD7" w:rsidRDefault="00BF7FD7" w:rsidP="00BF7FD7">
      <w:pPr>
        <w:numPr>
          <w:ilvl w:val="0"/>
          <w:numId w:val="1"/>
        </w:numPr>
        <w:spacing w:before="120" w:after="0" w:line="240" w:lineRule="auto"/>
        <w:ind w:left="284" w:hanging="284"/>
        <w:contextualSpacing/>
        <w:jc w:val="both"/>
        <w:rPr>
          <w:rFonts w:ascii="Times New Roman" w:eastAsia="Calibri" w:hAnsi="Times New Roman" w:cs="Times New Roman"/>
          <w:sz w:val="24"/>
          <w:szCs w:val="24"/>
        </w:rPr>
      </w:pPr>
      <w:r w:rsidRPr="00BF7FD7">
        <w:rPr>
          <w:rFonts w:ascii="Arial" w:eastAsia="Calibri" w:hAnsi="Arial" w:cs="Arial"/>
          <w:b/>
          <w:sz w:val="20"/>
          <w:szCs w:val="20"/>
        </w:rPr>
        <w:t xml:space="preserve">spisová dokumentace ochrany mládeže (dále jen spis </w:t>
      </w:r>
      <w:proofErr w:type="spellStart"/>
      <w:r w:rsidRPr="00BF7FD7">
        <w:rPr>
          <w:rFonts w:ascii="Arial" w:eastAsia="Calibri" w:hAnsi="Arial" w:cs="Arial"/>
          <w:b/>
          <w:sz w:val="20"/>
          <w:szCs w:val="20"/>
        </w:rPr>
        <w:t>Om</w:t>
      </w:r>
      <w:proofErr w:type="spellEnd"/>
      <w:r w:rsidRPr="00BF7FD7">
        <w:rPr>
          <w:rFonts w:ascii="Arial" w:eastAsia="Calibri" w:hAnsi="Arial" w:cs="Arial"/>
          <w:b/>
          <w:sz w:val="20"/>
          <w:szCs w:val="20"/>
        </w:rPr>
        <w:t xml:space="preserve">) -  </w:t>
      </w:r>
      <w:r w:rsidRPr="00BF7FD7">
        <w:rPr>
          <w:rFonts w:ascii="Times New Roman" w:eastAsia="Calibri" w:hAnsi="Times New Roman" w:cs="Times New Roman"/>
          <w:sz w:val="24"/>
          <w:szCs w:val="24"/>
        </w:rPr>
        <w:t>jedná se o spisy nezletilých dětí</w:t>
      </w:r>
      <w:r w:rsidRPr="00BF7FD7">
        <w:rPr>
          <w:rFonts w:ascii="Arial" w:eastAsia="Calibri" w:hAnsi="Arial" w:cs="Arial"/>
          <w:b/>
          <w:sz w:val="20"/>
          <w:szCs w:val="20"/>
        </w:rPr>
        <w:t>,</w:t>
      </w:r>
      <w:r w:rsidRPr="00BF7FD7">
        <w:rPr>
          <w:rFonts w:ascii="Times New Roman" w:eastAsia="Calibri" w:hAnsi="Times New Roman" w:cs="Times New Roman"/>
          <w:sz w:val="24"/>
          <w:szCs w:val="24"/>
        </w:rPr>
        <w:t xml:space="preserve"> které mají trvalé bydliště ve správním obvodu Moravská Ostrava a Přívoz a dále v obvodech Petřkovice, Hošťálkovice a Lhotka. Tato spisová dokumentace obsahuje jednotlivé dokumenty doručené na OSPOD a dále dokumenty, které vytvoří sociální pracovníci nebo kurátoři pro mládež OSPOD vlastní činností (např. záznamy ze šetření, záznamy z jednání, protokoly z jednání). </w:t>
      </w:r>
    </w:p>
    <w:p w:rsidR="00BF7FD7" w:rsidRPr="00BF7FD7" w:rsidRDefault="00BF7FD7" w:rsidP="00BF7FD7">
      <w:pPr>
        <w:spacing w:before="120" w:after="0" w:line="240" w:lineRule="auto"/>
        <w:ind w:left="284"/>
        <w:contextualSpacing/>
        <w:jc w:val="both"/>
        <w:rPr>
          <w:rFonts w:ascii="Times New Roman" w:eastAsia="Calibri" w:hAnsi="Times New Roman" w:cs="Times New Roman"/>
          <w:sz w:val="24"/>
          <w:szCs w:val="24"/>
        </w:rPr>
      </w:pPr>
    </w:p>
    <w:p w:rsidR="00BF7FD7" w:rsidRPr="00BF7FD7" w:rsidRDefault="00BF7FD7" w:rsidP="00BF7FD7">
      <w:pPr>
        <w:spacing w:before="120" w:after="0" w:line="240" w:lineRule="auto"/>
        <w:ind w:left="284" w:hanging="284"/>
        <w:contextualSpacing/>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2) Všechny tyto dokumenty k jednotlivému dítěti nebo dětem (pokud se jedná o sourozence, kteří mají shodné rodiče) jsou uloženy ve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 který je uložen ve spisovém obalu označeném dle směrnice. Dokumenty se do spisu řadí chronologicky podle data, kdy byly na oddělení doručeny, nebo podle data vzniku na oddělení. Každý dokument ve spisu je označen číslem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a pořadovým číslem ve spisu. Prvních pět dokumentů ve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tvoří: spisový přehled, </w:t>
      </w:r>
      <w:proofErr w:type="gramStart"/>
      <w:r w:rsidRPr="00BF7FD7">
        <w:rPr>
          <w:rFonts w:ascii="Times New Roman" w:eastAsia="Calibri" w:hAnsi="Times New Roman" w:cs="Times New Roman"/>
          <w:sz w:val="24"/>
          <w:szCs w:val="24"/>
        </w:rPr>
        <w:t>záznam  o vyhodnocení</w:t>
      </w:r>
      <w:proofErr w:type="gramEnd"/>
      <w:r w:rsidRPr="00BF7FD7">
        <w:rPr>
          <w:rFonts w:ascii="Times New Roman" w:eastAsia="Calibri" w:hAnsi="Times New Roman" w:cs="Times New Roman"/>
          <w:sz w:val="24"/>
          <w:szCs w:val="24"/>
        </w:rPr>
        <w:t xml:space="preserve"> situace dítěte a jeho rodiny, IPOD (pokud  je vypracován), přehled  návštěv dětí a přehled návštěv rodičů (v případech, kdy je k tomu důvod).</w:t>
      </w:r>
      <w:r w:rsidRPr="00BF7FD7">
        <w:rPr>
          <w:rFonts w:ascii="Times New Roman" w:eastAsia="Calibri" w:hAnsi="Times New Roman" w:cs="Times New Roman"/>
          <w:color w:val="FF0000"/>
          <w:sz w:val="24"/>
          <w:szCs w:val="24"/>
        </w:rPr>
        <w:t xml:space="preserve"> </w:t>
      </w:r>
      <w:r w:rsidRPr="00BF7FD7">
        <w:rPr>
          <w:rFonts w:ascii="Times New Roman" w:eastAsia="Calibri" w:hAnsi="Times New Roman" w:cs="Times New Roman"/>
          <w:sz w:val="24"/>
          <w:szCs w:val="24"/>
        </w:rPr>
        <w:t xml:space="preserve">Tyto dokumenty jsou vloženy do </w:t>
      </w:r>
      <w:proofErr w:type="spellStart"/>
      <w:r w:rsidRPr="00BF7FD7">
        <w:rPr>
          <w:rFonts w:ascii="Times New Roman" w:eastAsia="Calibri" w:hAnsi="Times New Roman" w:cs="Times New Roman"/>
          <w:sz w:val="24"/>
          <w:szCs w:val="24"/>
        </w:rPr>
        <w:t>eurosložek</w:t>
      </w:r>
      <w:proofErr w:type="spellEnd"/>
      <w:r w:rsidRPr="00BF7FD7">
        <w:rPr>
          <w:rFonts w:ascii="Times New Roman" w:eastAsia="Calibri" w:hAnsi="Times New Roman" w:cs="Times New Roman"/>
          <w:sz w:val="24"/>
          <w:szCs w:val="24"/>
        </w:rPr>
        <w:t xml:space="preserve">. Za tyto dokumenty se řadí podle data doručení nebo vyhotovení další písemnosti, které náleží do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(záznamy a protokoly z jednání s nezletilými dětmi, rodiči nebo jinými osobami odpovědnými za výchovu dítěte, zápisy z případových konferencí, zprávy zasílané </w:t>
      </w:r>
      <w:proofErr w:type="gramStart"/>
      <w:r w:rsidRPr="00BF7FD7">
        <w:rPr>
          <w:rFonts w:ascii="Times New Roman" w:eastAsia="Calibri" w:hAnsi="Times New Roman" w:cs="Times New Roman"/>
          <w:sz w:val="24"/>
          <w:szCs w:val="24"/>
        </w:rPr>
        <w:t>různým  institucím</w:t>
      </w:r>
      <w:proofErr w:type="gramEnd"/>
      <w:r w:rsidRPr="00BF7FD7">
        <w:rPr>
          <w:rFonts w:ascii="Times New Roman" w:eastAsia="Calibri" w:hAnsi="Times New Roman" w:cs="Times New Roman"/>
          <w:sz w:val="24"/>
          <w:szCs w:val="24"/>
        </w:rPr>
        <w:t xml:space="preserve"> a přijímané z těchto institucí a spolupracujících organizací atd.). Záznamy a protokoly vložené do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musejí být označeny podle směrnice MPSV. </w:t>
      </w:r>
    </w:p>
    <w:p w:rsidR="00BF7FD7" w:rsidRPr="00BF7FD7" w:rsidRDefault="00BF7FD7" w:rsidP="00BF7FD7">
      <w:pPr>
        <w:spacing w:after="0" w:line="240" w:lineRule="auto"/>
        <w:ind w:left="284"/>
        <w:contextualSpacing/>
        <w:jc w:val="both"/>
        <w:rPr>
          <w:rFonts w:ascii="Times New Roman" w:eastAsia="Calibri" w:hAnsi="Times New Roman" w:cs="Times New Roman"/>
          <w:sz w:val="24"/>
          <w:szCs w:val="24"/>
        </w:rPr>
      </w:pPr>
    </w:p>
    <w:p w:rsidR="00BF7FD7" w:rsidRPr="00BF7FD7" w:rsidRDefault="00BF7FD7" w:rsidP="00BF7FD7">
      <w:pPr>
        <w:spacing w:after="0" w:line="240" w:lineRule="auto"/>
        <w:ind w:left="284" w:hanging="284"/>
        <w:contextualSpacing/>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3) Dále může obsah spisové dokumentace tvořit správní spis, který je veden v samostatné složce ve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a je označen dle směrnice MPSV. Písemnosti vložené do správního spisu mají vlastní číselnou řadu a spisový přehled. </w:t>
      </w:r>
    </w:p>
    <w:p w:rsidR="00BF7FD7" w:rsidRPr="00BF7FD7" w:rsidRDefault="00BF7FD7" w:rsidP="00BF7FD7">
      <w:pPr>
        <w:spacing w:after="0" w:line="240" w:lineRule="auto"/>
        <w:ind w:left="284"/>
        <w:contextualSpacing/>
        <w:jc w:val="both"/>
        <w:rPr>
          <w:rFonts w:ascii="Times New Roman" w:eastAsia="Calibri" w:hAnsi="Times New Roman" w:cs="Times New Roman"/>
          <w:sz w:val="24"/>
          <w:szCs w:val="24"/>
        </w:rPr>
      </w:pPr>
    </w:p>
    <w:p w:rsidR="00BF7FD7" w:rsidRPr="00BF7FD7" w:rsidRDefault="00BF7FD7" w:rsidP="00BF7FD7">
      <w:pPr>
        <w:spacing w:after="0" w:line="240" w:lineRule="auto"/>
        <w:ind w:left="284" w:hanging="284"/>
        <w:contextualSpacing/>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4) Dále může být do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vložena složka s podklady pro zpracování spisové dokumentace, kterou označujeme P/</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Tato součást spisové dokumentace má vlastní </w:t>
      </w:r>
      <w:r w:rsidRPr="00BF7FD7">
        <w:rPr>
          <w:rFonts w:ascii="Times New Roman" w:eastAsia="Calibri" w:hAnsi="Times New Roman" w:cs="Times New Roman"/>
          <w:sz w:val="24"/>
          <w:szCs w:val="24"/>
        </w:rPr>
        <w:lastRenderedPageBreak/>
        <w:t xml:space="preserve">složku a vlastní číselnou řadu. Co může být podkladem pro vedení spisové dokumentace </w:t>
      </w:r>
      <w:r w:rsidRPr="00BF7FD7">
        <w:rPr>
          <w:rFonts w:ascii="Times New Roman" w:eastAsia="Calibri" w:hAnsi="Times New Roman" w:cs="Times New Roman"/>
          <w:sz w:val="24"/>
          <w:szCs w:val="24"/>
        </w:rPr>
        <w:br/>
        <w:t xml:space="preserve">a musí být uloženo v této složce a jak s těmito dokumenty nakládat, je uvedeno </w:t>
      </w:r>
      <w:r w:rsidRPr="00BF7FD7">
        <w:rPr>
          <w:rFonts w:ascii="Times New Roman" w:eastAsia="Calibri" w:hAnsi="Times New Roman" w:cs="Times New Roman"/>
          <w:sz w:val="24"/>
          <w:szCs w:val="24"/>
        </w:rPr>
        <w:br/>
        <w:t>ve směrnici MPSV.</w:t>
      </w:r>
    </w:p>
    <w:p w:rsidR="00BF7FD7" w:rsidRPr="00BF7FD7" w:rsidRDefault="00BF7FD7" w:rsidP="00BF7FD7">
      <w:pPr>
        <w:spacing w:after="0" w:line="240" w:lineRule="auto"/>
        <w:ind w:left="284"/>
        <w:contextualSpacing/>
        <w:jc w:val="both"/>
        <w:rPr>
          <w:rFonts w:ascii="Times New Roman" w:eastAsia="Calibri" w:hAnsi="Times New Roman" w:cs="Times New Roman"/>
          <w:sz w:val="24"/>
          <w:szCs w:val="24"/>
        </w:rPr>
      </w:pPr>
    </w:p>
    <w:p w:rsidR="00BF7FD7" w:rsidRPr="00BF7FD7" w:rsidRDefault="00BF7FD7" w:rsidP="00BF7FD7">
      <w:pPr>
        <w:spacing w:after="0" w:line="240" w:lineRule="auto"/>
        <w:ind w:left="284" w:hanging="284"/>
        <w:contextualSpacing/>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5) Spisovou dokumentaci lze postoupit jinému orgánu SPOD za podmínek uvedených </w:t>
      </w:r>
      <w:r w:rsidRPr="00BF7FD7">
        <w:rPr>
          <w:rFonts w:ascii="Times New Roman" w:eastAsia="Calibri" w:hAnsi="Times New Roman" w:cs="Times New Roman"/>
          <w:sz w:val="24"/>
          <w:szCs w:val="24"/>
        </w:rPr>
        <w:br/>
        <w:t xml:space="preserve">ve směrnici MPSV. Jmenná kartotéka dětí, rejstříky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i spisová dokumentace jsou dostupné pro všechny zaměstnance OSPOD ve spisovně OSPOD. Spisová dokumentace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i rejstříky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jsou vedeny v písemné i v elektronické podobě - v programu SVI v souladu s metodickým pokynem MMO.</w:t>
      </w:r>
    </w:p>
    <w:p w:rsidR="00BF7FD7" w:rsidRPr="00BF7FD7" w:rsidRDefault="00BF7FD7" w:rsidP="00BF7FD7">
      <w:pPr>
        <w:spacing w:after="0" w:line="240" w:lineRule="auto"/>
        <w:ind w:left="284"/>
        <w:contextualSpacing/>
        <w:jc w:val="both"/>
        <w:rPr>
          <w:rFonts w:ascii="Arial" w:eastAsia="Calibri" w:hAnsi="Arial" w:cs="Arial"/>
          <w:b/>
          <w:sz w:val="20"/>
          <w:szCs w:val="20"/>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3</w:t>
      </w: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Pomocná evidence</w:t>
      </w:r>
    </w:p>
    <w:p w:rsidR="00BF7FD7" w:rsidRPr="00BF7FD7" w:rsidRDefault="00BF7FD7" w:rsidP="00BF7FD7">
      <w:pPr>
        <w:spacing w:before="120" w:after="0" w:line="240" w:lineRule="auto"/>
        <w:jc w:val="both"/>
        <w:rPr>
          <w:rFonts w:ascii="Times New Roman" w:eastAsia="Calibri" w:hAnsi="Times New Roman" w:cs="Times New Roman"/>
          <w:sz w:val="24"/>
          <w:szCs w:val="24"/>
        </w:rPr>
      </w:pPr>
      <w:proofErr w:type="gramStart"/>
      <w:r w:rsidRPr="00BF7FD7">
        <w:rPr>
          <w:rFonts w:ascii="Times New Roman" w:eastAsia="Calibri" w:hAnsi="Times New Roman" w:cs="Times New Roman"/>
          <w:sz w:val="24"/>
          <w:szCs w:val="24"/>
        </w:rPr>
        <w:t>1)  Pomocnou</w:t>
      </w:r>
      <w:proofErr w:type="gramEnd"/>
      <w:r w:rsidRPr="00BF7FD7">
        <w:rPr>
          <w:rFonts w:ascii="Times New Roman" w:eastAsia="Calibri" w:hAnsi="Times New Roman" w:cs="Times New Roman"/>
          <w:sz w:val="24"/>
          <w:szCs w:val="24"/>
        </w:rPr>
        <w:t xml:space="preserve"> evidenci tvoří:</w:t>
      </w:r>
    </w:p>
    <w:p w:rsidR="00BF7FD7" w:rsidRPr="00BF7FD7" w:rsidRDefault="00BF7FD7" w:rsidP="00BF7FD7">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BF7FD7">
        <w:rPr>
          <w:rFonts w:ascii="Arial" w:eastAsia="Calibri" w:hAnsi="Arial" w:cs="Arial"/>
          <w:b/>
          <w:sz w:val="20"/>
          <w:szCs w:val="20"/>
        </w:rPr>
        <w:t>další rejstříky nezletilých dětí</w:t>
      </w:r>
      <w:r w:rsidRPr="00BF7FD7">
        <w:rPr>
          <w:rFonts w:ascii="Times New Roman" w:eastAsia="Calibri" w:hAnsi="Times New Roman" w:cs="Times New Roman"/>
          <w:sz w:val="24"/>
          <w:szCs w:val="24"/>
        </w:rPr>
        <w:t xml:space="preserve">, které jsou na OSPOD vedeny, a které jsou přesně vyjmenovány ve směrnici MPSV, kde jsou rovněž uvedeny vzory těchto rejstříků. </w:t>
      </w:r>
      <w:r w:rsidRPr="00BF7FD7">
        <w:rPr>
          <w:rFonts w:ascii="Times New Roman" w:eastAsia="Calibri" w:hAnsi="Times New Roman" w:cs="Times New Roman"/>
          <w:sz w:val="24"/>
          <w:szCs w:val="24"/>
        </w:rPr>
        <w:br/>
        <w:t xml:space="preserve">Ve směrnici je rovněž specifikováno, které děti se do těchto rejstříků zapisují. Stejně jako rejstřík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i tyto rejstříky za jednotlivé roky jsou seřazeny podle dat ve spisovém obalu, který je označen rokem, ve kterém byl rejstřík založen a názvem rejstříku. Stejné rejstříky za jednotlivé roky seřazené ve spisových obalech jsou založeny do šanonů, které jsou uloženy ve spisovně OSPOD.</w:t>
      </w:r>
    </w:p>
    <w:p w:rsidR="00BF7FD7" w:rsidRPr="00BF7FD7" w:rsidRDefault="00BF7FD7" w:rsidP="00BF7FD7">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BF7FD7">
        <w:rPr>
          <w:rFonts w:ascii="Arial" w:eastAsia="Calibri" w:hAnsi="Arial" w:cs="Arial"/>
          <w:b/>
          <w:sz w:val="20"/>
          <w:szCs w:val="20"/>
        </w:rPr>
        <w:t xml:space="preserve">spisová dokumentace, která je označena spisovou značkou </w:t>
      </w:r>
      <w:proofErr w:type="spellStart"/>
      <w:r w:rsidRPr="00BF7FD7">
        <w:rPr>
          <w:rFonts w:ascii="Arial" w:eastAsia="Calibri" w:hAnsi="Arial" w:cs="Arial"/>
          <w:b/>
          <w:sz w:val="20"/>
          <w:szCs w:val="20"/>
        </w:rPr>
        <w:t>NOm</w:t>
      </w:r>
      <w:proofErr w:type="spellEnd"/>
      <w:r w:rsidRPr="00BF7FD7">
        <w:rPr>
          <w:rFonts w:ascii="Arial" w:eastAsia="Calibri" w:hAnsi="Arial" w:cs="Arial"/>
          <w:b/>
          <w:sz w:val="20"/>
          <w:szCs w:val="20"/>
        </w:rPr>
        <w:t xml:space="preserve"> (dále jen spis </w:t>
      </w:r>
      <w:proofErr w:type="spellStart"/>
      <w:r w:rsidRPr="00BF7FD7">
        <w:rPr>
          <w:rFonts w:ascii="Arial" w:eastAsia="Calibri" w:hAnsi="Arial" w:cs="Arial"/>
          <w:b/>
          <w:sz w:val="20"/>
          <w:szCs w:val="20"/>
        </w:rPr>
        <w:t>NOm</w:t>
      </w:r>
      <w:proofErr w:type="spellEnd"/>
      <w:r w:rsidRPr="00BF7FD7">
        <w:rPr>
          <w:rFonts w:ascii="Arial" w:eastAsia="Calibri" w:hAnsi="Arial" w:cs="Arial"/>
          <w:b/>
          <w:sz w:val="20"/>
          <w:szCs w:val="20"/>
        </w:rPr>
        <w:t xml:space="preserve">). </w:t>
      </w:r>
      <w:r w:rsidRPr="00BF7FD7">
        <w:rPr>
          <w:rFonts w:ascii="Times New Roman" w:eastAsia="Calibri" w:hAnsi="Times New Roman" w:cs="Times New Roman"/>
          <w:sz w:val="24"/>
          <w:szCs w:val="24"/>
        </w:rPr>
        <w:t xml:space="preserve">Jsou to spisy dětí, které nemají trvalý pobyt ve správním obvodu Moravská Ostrava a Přívoz </w:t>
      </w:r>
      <w:r w:rsidRPr="00BF7FD7">
        <w:rPr>
          <w:rFonts w:ascii="Times New Roman" w:eastAsia="Calibri" w:hAnsi="Times New Roman" w:cs="Times New Roman"/>
          <w:sz w:val="24"/>
          <w:szCs w:val="24"/>
        </w:rPr>
        <w:br/>
        <w:t xml:space="preserve">a dále v Petřkovicích, Hošťálkovicích a Lhotce. Tyto spisy jsou evidovány v rejstříku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vedeném na formulářích, jejichž vzor je součástí směrnice MPSV. Rejstříky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w:t>
      </w:r>
      <w:r w:rsidRPr="00BF7FD7">
        <w:rPr>
          <w:rFonts w:ascii="Times New Roman" w:eastAsia="Calibri" w:hAnsi="Times New Roman" w:cs="Times New Roman"/>
          <w:sz w:val="24"/>
          <w:szCs w:val="24"/>
        </w:rPr>
        <w:br/>
        <w:t xml:space="preserve">za jednotlivé roky jsou seřazeny podle dat ve spisovém obalu, který je označen rokem, </w:t>
      </w:r>
      <w:r w:rsidRPr="00BF7FD7">
        <w:rPr>
          <w:rFonts w:ascii="Times New Roman" w:eastAsia="Calibri" w:hAnsi="Times New Roman" w:cs="Times New Roman"/>
          <w:sz w:val="24"/>
          <w:szCs w:val="24"/>
        </w:rPr>
        <w:br/>
        <w:t xml:space="preserve">ve kterém byl rejstřík založen a názvem rejstříku. Stejné rejstříky za jednotlivé roky seřazené ve spisových obalech jsou založeny do označených šanonů, které jsou uloženy </w:t>
      </w:r>
      <w:r w:rsidRPr="00BF7FD7">
        <w:rPr>
          <w:rFonts w:ascii="Times New Roman" w:eastAsia="Calibri" w:hAnsi="Times New Roman" w:cs="Times New Roman"/>
          <w:sz w:val="24"/>
          <w:szCs w:val="24"/>
        </w:rPr>
        <w:br/>
        <w:t xml:space="preserve">ve spisovně OSPOD. Spisová dokumentace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i rejstříky pomocné evidence jsou vedeny jak v písemné, tak i v elektronické podobě – v programu SVI.</w:t>
      </w:r>
    </w:p>
    <w:p w:rsidR="00BF7FD7" w:rsidRPr="00BF7FD7" w:rsidRDefault="00BF7FD7" w:rsidP="00BF7FD7">
      <w:pPr>
        <w:spacing w:after="0" w:line="240" w:lineRule="auto"/>
        <w:jc w:val="both"/>
        <w:rPr>
          <w:rFonts w:ascii="Arial" w:eastAsia="Times New Roman" w:hAnsi="Arial" w:cs="Arial"/>
          <w:b/>
          <w:sz w:val="24"/>
          <w:szCs w:val="24"/>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4</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Evidence se spisovou značkou MOaP</w:t>
      </w:r>
    </w:p>
    <w:p w:rsidR="00BF7FD7" w:rsidRPr="00BF7FD7" w:rsidRDefault="00BF7FD7" w:rsidP="00BF7FD7">
      <w:pPr>
        <w:numPr>
          <w:ilvl w:val="0"/>
          <w:numId w:val="3"/>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Jestliže nevznikl důvod pro založení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nebo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založí zaměstnanec OSPOD evidenci pod spisovou značkou MOaP. Tato evidence je tvořena dokumenty, které byly doručeny na OSPOD a nevyžadují založení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nebo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Tyto dokumenty jsou zapsány do rejstříku spisové značky MOaP a poté chronologicky zakládány do spisového obalu, který je označen názvem „dokumentace se spisovou značkou MOaP“ a společně s rejstříkem spisové značky MOaP je založen v šanonu označeném názvem „dokumenty se spisovou značkou MOaP“ a rokem. Jestliže je později dítě vyhodnoceno jako ohrožené podle § 6 zákona, založí zaměstnanec OSPOD dítěti spis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či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a dokumentace dítěte pod spisovou značkou MOaP může být k tomuto spisu přiřazena, přičemž šanon s rejstříkem a dokumentací MOaP je uložen ve spisovně OSPOD a je dostupný pro každého zaměstnance OSPOD. Pokud tomu tak není, je spisová dokumentace pod značkou MOaP koncem kalendářního roku vyřazena – zaměstnanci se </w:t>
      </w:r>
      <w:proofErr w:type="gramStart"/>
      <w:r w:rsidRPr="00BF7FD7">
        <w:rPr>
          <w:rFonts w:ascii="Times New Roman" w:eastAsia="Calibri" w:hAnsi="Times New Roman" w:cs="Times New Roman"/>
          <w:sz w:val="24"/>
          <w:szCs w:val="24"/>
        </w:rPr>
        <w:t>přitom  řídí</w:t>
      </w:r>
      <w:proofErr w:type="gramEnd"/>
      <w:r w:rsidRPr="00BF7FD7">
        <w:rPr>
          <w:rFonts w:ascii="Times New Roman" w:eastAsia="Calibri" w:hAnsi="Times New Roman" w:cs="Times New Roman"/>
          <w:sz w:val="24"/>
          <w:szCs w:val="24"/>
        </w:rPr>
        <w:t xml:space="preserve"> spisovým řádem.</w:t>
      </w:r>
    </w:p>
    <w:p w:rsidR="00BF7FD7" w:rsidRPr="00BF7FD7" w:rsidRDefault="00BF7FD7" w:rsidP="00BF7FD7">
      <w:pPr>
        <w:numPr>
          <w:ilvl w:val="0"/>
          <w:numId w:val="3"/>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Podrobnější informace k vedení spisové dokumentace, k důvodům zařazení dítěte </w:t>
      </w:r>
      <w:r w:rsidRPr="00BF7FD7">
        <w:rPr>
          <w:rFonts w:ascii="Times New Roman" w:eastAsia="Calibri" w:hAnsi="Times New Roman" w:cs="Times New Roman"/>
          <w:sz w:val="24"/>
          <w:szCs w:val="24"/>
        </w:rPr>
        <w:br/>
        <w:t xml:space="preserve">do základní a pomocné evidence a k jeho vyřazení z této evidence, k obsahu evidence, k vedení a obsahu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xml:space="preserve"> a všech rejstříků, k uzavření spisové dokumentace OSPOD, jsou stanoveny ve směrnici MPSV a také v zákonu o </w:t>
      </w:r>
      <w:proofErr w:type="gramStart"/>
      <w:r w:rsidRPr="00BF7FD7">
        <w:rPr>
          <w:rFonts w:ascii="Times New Roman" w:eastAsia="Calibri" w:hAnsi="Times New Roman" w:cs="Times New Roman"/>
          <w:sz w:val="24"/>
          <w:szCs w:val="24"/>
        </w:rPr>
        <w:t>SPOD</w:t>
      </w:r>
      <w:proofErr w:type="gramEnd"/>
      <w:r w:rsidRPr="00BF7FD7">
        <w:rPr>
          <w:rFonts w:ascii="Times New Roman" w:eastAsia="Calibri" w:hAnsi="Times New Roman" w:cs="Times New Roman"/>
          <w:sz w:val="24"/>
          <w:szCs w:val="24"/>
        </w:rPr>
        <w:t xml:space="preserve">. </w:t>
      </w:r>
    </w:p>
    <w:p w:rsidR="00BF7FD7" w:rsidRPr="00BF7FD7" w:rsidRDefault="00BF7FD7" w:rsidP="00BF7FD7">
      <w:pPr>
        <w:numPr>
          <w:ilvl w:val="0"/>
          <w:numId w:val="3"/>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lastRenderedPageBreak/>
        <w:t>Informace týkající se doručení a příjmu dokumentů na oddělení sociálně-právní ochrany dětí, označení těchto dokumentů, předání dokumentů odpovědným pracovníkům, vyřizování dokumentů, odesílání dokumentů, vyřazování, archivace a skartace dokumentů upravuje podrobně spisový řád.</w:t>
      </w:r>
    </w:p>
    <w:p w:rsidR="00BF7FD7" w:rsidRPr="00BF7FD7" w:rsidRDefault="00BF7FD7" w:rsidP="00BF7FD7">
      <w:pPr>
        <w:spacing w:after="0" w:line="240" w:lineRule="auto"/>
        <w:ind w:left="284" w:hanging="284"/>
        <w:jc w:val="both"/>
        <w:rPr>
          <w:rFonts w:ascii="Arial" w:eastAsia="Calibri" w:hAnsi="Arial" w:cs="Arial"/>
          <w:b/>
          <w:sz w:val="20"/>
          <w:szCs w:val="20"/>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5</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Ochrana práv a osobních údajů klientů</w:t>
      </w:r>
    </w:p>
    <w:p w:rsidR="00BF7FD7" w:rsidRPr="00BF7FD7" w:rsidRDefault="00BF7FD7" w:rsidP="00BF7FD7">
      <w:pPr>
        <w:spacing w:before="120" w:after="0" w:line="240" w:lineRule="auto"/>
        <w:jc w:val="both"/>
        <w:rPr>
          <w:rFonts w:ascii="Arial" w:eastAsia="Calibri" w:hAnsi="Arial" w:cs="Arial"/>
          <w:b/>
          <w:sz w:val="20"/>
          <w:szCs w:val="20"/>
        </w:rPr>
      </w:pPr>
      <w:r w:rsidRPr="00BF7FD7">
        <w:rPr>
          <w:rFonts w:ascii="Times New Roman" w:eastAsia="Calibri" w:hAnsi="Times New Roman" w:cs="Times New Roman"/>
          <w:sz w:val="24"/>
          <w:szCs w:val="24"/>
        </w:rPr>
        <w:t xml:space="preserve">Zákon o SPOD </w:t>
      </w:r>
      <w:proofErr w:type="gramStart"/>
      <w:r w:rsidRPr="00BF7FD7">
        <w:rPr>
          <w:rFonts w:ascii="Times New Roman" w:eastAsia="Calibri" w:hAnsi="Times New Roman" w:cs="Times New Roman"/>
          <w:sz w:val="24"/>
          <w:szCs w:val="24"/>
        </w:rPr>
        <w:t>stanoví</w:t>
      </w:r>
      <w:proofErr w:type="gramEnd"/>
      <w:r w:rsidRPr="00BF7FD7">
        <w:rPr>
          <w:rFonts w:ascii="Times New Roman" w:eastAsia="Calibri" w:hAnsi="Times New Roman" w:cs="Times New Roman"/>
          <w:sz w:val="24"/>
          <w:szCs w:val="24"/>
        </w:rPr>
        <w:t xml:space="preserve"> mj. že zaměstnanci OSPOD při výkonu sociálně-právní ochrany dětí respektují práva klientů na ochranu osobních údajů a zachovávají mlčenlivost </w:t>
      </w:r>
      <w:r w:rsidRPr="00BF7FD7">
        <w:rPr>
          <w:rFonts w:ascii="Times New Roman" w:eastAsia="Calibri" w:hAnsi="Times New Roman" w:cs="Times New Roman"/>
          <w:sz w:val="24"/>
          <w:szCs w:val="24"/>
        </w:rPr>
        <w:br/>
        <w:t xml:space="preserve">o skutečnostech, se kterými se při provádění sociálně-právní ochrany nebo v přímé souvislosti s tím seznámili s výjimkou případů, kdy byli této mlčenlivosti zproštěni. Dále zákon o SPOD </w:t>
      </w:r>
      <w:proofErr w:type="gramStart"/>
      <w:r w:rsidRPr="00BF7FD7">
        <w:rPr>
          <w:rFonts w:ascii="Times New Roman" w:eastAsia="Calibri" w:hAnsi="Times New Roman" w:cs="Times New Roman"/>
          <w:sz w:val="24"/>
          <w:szCs w:val="24"/>
        </w:rPr>
        <w:t>stanoví</w:t>
      </w:r>
      <w:proofErr w:type="gramEnd"/>
      <w:r w:rsidRPr="00BF7FD7">
        <w:rPr>
          <w:rFonts w:ascii="Times New Roman" w:eastAsia="Calibri" w:hAnsi="Times New Roman" w:cs="Times New Roman"/>
          <w:sz w:val="24"/>
          <w:szCs w:val="24"/>
        </w:rPr>
        <w:t>, že zaměstnanci OSPOD jsou povinni na vyžádání sdělovat údaje z evidence a spisové dokumentace ostatním spolupracujícím organizacím a institucím.</w:t>
      </w:r>
    </w:p>
    <w:p w:rsidR="00BF7FD7" w:rsidRPr="00BF7FD7" w:rsidRDefault="00BF7FD7" w:rsidP="00BF7FD7">
      <w:pPr>
        <w:spacing w:after="0" w:line="240" w:lineRule="auto"/>
        <w:jc w:val="both"/>
        <w:rPr>
          <w:rFonts w:ascii="Arial" w:eastAsia="Times New Roman" w:hAnsi="Arial" w:cs="Arial"/>
          <w:b/>
          <w:sz w:val="24"/>
          <w:szCs w:val="24"/>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6</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 xml:space="preserve">Jednání s klienty </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Zaměstnanci OSPOD jednají s klienty zdvořile a profesionálně, dbají na to, aby klienti měli při jednání na OSPOD zaručeno</w:t>
      </w:r>
      <w:r w:rsidRPr="00BF7FD7">
        <w:rPr>
          <w:rFonts w:ascii="Times New Roman" w:eastAsia="Calibri" w:hAnsi="Times New Roman" w:cs="Times New Roman"/>
          <w:color w:val="FF0000"/>
          <w:sz w:val="24"/>
          <w:szCs w:val="24"/>
        </w:rPr>
        <w:t>u</w:t>
      </w:r>
      <w:r w:rsidRPr="00BF7FD7">
        <w:rPr>
          <w:rFonts w:ascii="Times New Roman" w:eastAsia="Calibri" w:hAnsi="Times New Roman" w:cs="Times New Roman"/>
          <w:sz w:val="24"/>
          <w:szCs w:val="24"/>
        </w:rPr>
        <w:t xml:space="preserve"> takovou míru soukromí, jakou potřebují. Zaměstnanci se při výkonu práce řídí mj. etickým kodexem.</w:t>
      </w:r>
    </w:p>
    <w:p w:rsidR="00BF7FD7" w:rsidRPr="00BF7FD7" w:rsidRDefault="00BF7FD7" w:rsidP="00BF7FD7">
      <w:pPr>
        <w:spacing w:after="0" w:line="240" w:lineRule="auto"/>
        <w:jc w:val="both"/>
        <w:rPr>
          <w:rFonts w:ascii="Arial" w:eastAsia="Times New Roman" w:hAnsi="Arial" w:cs="Arial"/>
          <w:b/>
          <w:sz w:val="24"/>
          <w:szCs w:val="24"/>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7</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Zacházení se spisovou dokumentací a nahlížení do ní</w:t>
      </w:r>
    </w:p>
    <w:p w:rsidR="00BF7FD7" w:rsidRPr="00BF7FD7" w:rsidRDefault="00BF7FD7" w:rsidP="00BF7FD7">
      <w:pPr>
        <w:numPr>
          <w:ilvl w:val="0"/>
          <w:numId w:val="4"/>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Spisy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jsou na oddělení uzamčeny ve spisovně, do které mají přístup pouze zaměstnanci OSPOD a vedoucí odboru sociálních věcí. Jiné osoby mohou ve spisovně pobývat pouze v doprovodu zaměstnance OSPOD. Zaměstnanci si spisy neberou domů, nenechávají spisy v neuzamčených skříních nebo kancelářích. Pokud zaměstnanci jednají s klientem, nejsou na jejich pracovních stolech položeny spisy jiných klientů. </w:t>
      </w:r>
    </w:p>
    <w:p w:rsidR="00BF7FD7" w:rsidRPr="00BF7FD7" w:rsidRDefault="00BF7FD7" w:rsidP="00BF7FD7">
      <w:pPr>
        <w:numPr>
          <w:ilvl w:val="0"/>
          <w:numId w:val="4"/>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Nahlížení do spisové dokumentace vč. způsobů rozhodnutí orgánu SPOD o nahlédnutí upravuje zákon o </w:t>
      </w:r>
      <w:proofErr w:type="gramStart"/>
      <w:r w:rsidRPr="00BF7FD7">
        <w:rPr>
          <w:rFonts w:ascii="Times New Roman" w:eastAsia="Calibri" w:hAnsi="Times New Roman" w:cs="Times New Roman"/>
          <w:sz w:val="24"/>
          <w:szCs w:val="24"/>
        </w:rPr>
        <w:t>SPOD</w:t>
      </w:r>
      <w:proofErr w:type="gramEnd"/>
      <w:r w:rsidRPr="00BF7FD7">
        <w:rPr>
          <w:rFonts w:ascii="Times New Roman" w:eastAsia="Calibri" w:hAnsi="Times New Roman" w:cs="Times New Roman"/>
          <w:sz w:val="24"/>
          <w:szCs w:val="24"/>
        </w:rPr>
        <w:t>.</w:t>
      </w:r>
    </w:p>
    <w:p w:rsidR="00BF7FD7" w:rsidRPr="00BF7FD7" w:rsidRDefault="00BF7FD7" w:rsidP="00BF7FD7">
      <w:pPr>
        <w:spacing w:after="0" w:line="240" w:lineRule="auto"/>
        <w:jc w:val="both"/>
        <w:rPr>
          <w:rFonts w:ascii="Arial" w:eastAsia="Calibri" w:hAnsi="Arial" w:cs="Arial"/>
          <w:b/>
          <w:sz w:val="20"/>
          <w:szCs w:val="20"/>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8</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Vedení dokumentů</w:t>
      </w:r>
    </w:p>
    <w:p w:rsidR="00BF7FD7" w:rsidRPr="00BF7FD7" w:rsidRDefault="00BF7FD7" w:rsidP="00BF7FD7">
      <w:p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1) Všechny dokumenty týkající se klienta a jeho rodiny jsou zakládány do spisu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který je součástí základní evidence, nebo spisu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který je součástí pomocné evidence, kterou vede OSPOD. Pro snazší orientaci ve spisové dokumentaci slouží spisový přehled. Tyto dokumenty jsou na OSPOD:</w:t>
      </w:r>
    </w:p>
    <w:p w:rsidR="00BF7FD7" w:rsidRPr="00BF7FD7" w:rsidRDefault="00BF7FD7" w:rsidP="00BF7FD7">
      <w:pPr>
        <w:spacing w:after="0" w:line="240" w:lineRule="auto"/>
        <w:ind w:left="567" w:hanging="283"/>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a) </w:t>
      </w:r>
      <w:r w:rsidRPr="00BF7FD7">
        <w:rPr>
          <w:rFonts w:ascii="Arial" w:eastAsia="Calibri" w:hAnsi="Arial" w:cs="Arial"/>
          <w:b/>
          <w:sz w:val="20"/>
          <w:szCs w:val="20"/>
        </w:rPr>
        <w:t xml:space="preserve">doručeny </w:t>
      </w:r>
      <w:r w:rsidRPr="00BF7FD7">
        <w:rPr>
          <w:rFonts w:ascii="Times New Roman" w:eastAsia="Calibri" w:hAnsi="Times New Roman" w:cs="Times New Roman"/>
          <w:sz w:val="24"/>
          <w:szCs w:val="24"/>
        </w:rPr>
        <w:t xml:space="preserve">některým z těchto způsobů -  osobně, písemně poštou, mailem, elektronickou poštou, faxem. Dokumenty jsou zakládány do spisové dokumentace </w:t>
      </w:r>
      <w:proofErr w:type="spellStart"/>
      <w:r w:rsidRPr="00BF7FD7">
        <w:rPr>
          <w:rFonts w:ascii="Times New Roman" w:eastAsia="Calibri" w:hAnsi="Times New Roman" w:cs="Times New Roman"/>
          <w:sz w:val="24"/>
          <w:szCs w:val="24"/>
        </w:rPr>
        <w:t>Om</w:t>
      </w:r>
      <w:proofErr w:type="spellEnd"/>
      <w:r w:rsidRPr="00BF7FD7">
        <w:rPr>
          <w:rFonts w:ascii="Times New Roman" w:eastAsia="Calibri" w:hAnsi="Times New Roman" w:cs="Times New Roman"/>
          <w:sz w:val="24"/>
          <w:szCs w:val="24"/>
        </w:rPr>
        <w:t xml:space="preserve"> a </w:t>
      </w:r>
      <w:proofErr w:type="spellStart"/>
      <w:r w:rsidRPr="00BF7FD7">
        <w:rPr>
          <w:rFonts w:ascii="Times New Roman" w:eastAsia="Calibri" w:hAnsi="Times New Roman" w:cs="Times New Roman"/>
          <w:sz w:val="24"/>
          <w:szCs w:val="24"/>
        </w:rPr>
        <w:t>NOm</w:t>
      </w:r>
      <w:proofErr w:type="spellEnd"/>
      <w:r w:rsidRPr="00BF7FD7">
        <w:rPr>
          <w:rFonts w:ascii="Times New Roman" w:eastAsia="Calibri" w:hAnsi="Times New Roman" w:cs="Times New Roman"/>
          <w:sz w:val="24"/>
          <w:szCs w:val="24"/>
        </w:rPr>
        <w:t>, přičemž zůstávají ve stejném znění, v jakém byly vypracovány a poté doručeny. Dokumenty se nijak neupravují, i když mnohdy obsahují odborné výrazy a termíny, složité formulace nebo cizí slova. Pokud těmto dokumentům klient nerozumí, zaměstnance OSPOD klientovi obsah dokumentu vysvětlí a „přeloží“ do klientovi srozumitelné podoby.</w:t>
      </w:r>
    </w:p>
    <w:p w:rsidR="00BF7FD7" w:rsidRPr="00BF7FD7" w:rsidRDefault="00BF7FD7" w:rsidP="00BF7FD7">
      <w:pPr>
        <w:spacing w:after="0" w:line="240" w:lineRule="auto"/>
        <w:ind w:left="567" w:hanging="283"/>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b) </w:t>
      </w:r>
      <w:r w:rsidRPr="00BF7FD7">
        <w:rPr>
          <w:rFonts w:ascii="Arial" w:eastAsia="Calibri" w:hAnsi="Arial" w:cs="Arial"/>
          <w:b/>
          <w:sz w:val="20"/>
          <w:szCs w:val="20"/>
        </w:rPr>
        <w:t>jsou vytvořeny zaměstnanci OSPOD</w:t>
      </w:r>
      <w:r w:rsidRPr="00BF7FD7">
        <w:rPr>
          <w:rFonts w:ascii="Times New Roman" w:eastAsia="Calibri" w:hAnsi="Times New Roman" w:cs="Times New Roman"/>
          <w:sz w:val="24"/>
          <w:szCs w:val="24"/>
        </w:rPr>
        <w:t xml:space="preserve"> – jedná se o různé záznamy sociálně-právní ochrany, které dokumentují činnosti zaměstnanců OSPOD (záznamy ze šetření, záznamy z jednání, záznamy z konzultací, ze schůzek, protokoly z jednání, vyhodnocení situace nezletilého dítěte a jeho rodiny, individuální plány ochrany dítěte atd.). Záznamy </w:t>
      </w:r>
      <w:r w:rsidRPr="00BF7FD7">
        <w:rPr>
          <w:rFonts w:ascii="Times New Roman" w:eastAsia="Calibri" w:hAnsi="Times New Roman" w:cs="Times New Roman"/>
          <w:sz w:val="24"/>
          <w:szCs w:val="24"/>
        </w:rPr>
        <w:lastRenderedPageBreak/>
        <w:t xml:space="preserve">sociálně-právní ochrany musejí být formulovány tak, aby byly pro klienta maximálně srozumitelné.  </w:t>
      </w:r>
    </w:p>
    <w:p w:rsidR="00BF7FD7" w:rsidRPr="00BF7FD7" w:rsidRDefault="00BF7FD7" w:rsidP="00BF7FD7">
      <w:p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2) Pro snazší orientaci ve spisové dokumentaci slouží spisový přehled. Všechny dokumenty založené ve spisové dokumentaci obsahují veškeré náležitosti požadované směrnicí. </w:t>
      </w:r>
    </w:p>
    <w:p w:rsidR="00BF7FD7" w:rsidRPr="00BF7FD7" w:rsidRDefault="00BF7FD7" w:rsidP="00BF7FD7">
      <w:pPr>
        <w:spacing w:after="0" w:line="240" w:lineRule="auto"/>
        <w:jc w:val="both"/>
        <w:rPr>
          <w:rFonts w:ascii="Arial" w:eastAsia="Times New Roman" w:hAnsi="Arial" w:cs="Arial"/>
          <w:b/>
          <w:sz w:val="24"/>
          <w:szCs w:val="24"/>
          <w:lang w:eastAsia="cs-CZ"/>
        </w:rPr>
      </w:pPr>
    </w:p>
    <w:p w:rsidR="00BF7FD7" w:rsidRPr="00BF7FD7" w:rsidRDefault="00BF7FD7" w:rsidP="00BF7FD7">
      <w:pPr>
        <w:spacing w:after="0" w:line="240" w:lineRule="auto"/>
        <w:jc w:val="both"/>
        <w:rPr>
          <w:rFonts w:ascii="Arial" w:eastAsia="Times New Roman" w:hAnsi="Arial" w:cs="Arial"/>
          <w:b/>
          <w:sz w:val="24"/>
          <w:szCs w:val="24"/>
          <w:lang w:eastAsia="cs-CZ"/>
        </w:rPr>
      </w:pPr>
      <w:r w:rsidRPr="00BF7FD7">
        <w:rPr>
          <w:rFonts w:ascii="Arial" w:eastAsia="Times New Roman" w:hAnsi="Arial" w:cs="Arial"/>
          <w:b/>
          <w:sz w:val="24"/>
          <w:szCs w:val="24"/>
          <w:lang w:eastAsia="cs-CZ"/>
        </w:rPr>
        <w:t>Článek 9</w:t>
      </w:r>
    </w:p>
    <w:p w:rsidR="00BF7FD7" w:rsidRPr="00BF7FD7" w:rsidRDefault="00BF7FD7" w:rsidP="00BF7FD7">
      <w:pPr>
        <w:spacing w:after="0" w:line="240" w:lineRule="auto"/>
        <w:jc w:val="both"/>
        <w:rPr>
          <w:rFonts w:ascii="Arial" w:eastAsia="Calibri" w:hAnsi="Arial" w:cs="Arial"/>
          <w:b/>
          <w:sz w:val="24"/>
          <w:szCs w:val="24"/>
        </w:rPr>
      </w:pPr>
      <w:r w:rsidRPr="00BF7FD7">
        <w:rPr>
          <w:rFonts w:ascii="Arial" w:eastAsia="Calibri" w:hAnsi="Arial" w:cs="Arial"/>
          <w:b/>
          <w:sz w:val="24"/>
          <w:szCs w:val="24"/>
        </w:rPr>
        <w:t>Srozumitelnost záznamů</w:t>
      </w:r>
    </w:p>
    <w:p w:rsidR="00BF7FD7" w:rsidRPr="00BF7FD7" w:rsidRDefault="00BF7FD7" w:rsidP="00BF7FD7">
      <w:pPr>
        <w:spacing w:before="120" w:after="0" w:line="240" w:lineRule="auto"/>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Srozumitelnost</w:t>
      </w:r>
      <w:r w:rsidRPr="00BF7FD7">
        <w:rPr>
          <w:rFonts w:ascii="Times New Roman" w:eastAsia="Calibri" w:hAnsi="Times New Roman" w:cs="Times New Roman"/>
          <w:color w:val="FF0000"/>
          <w:sz w:val="24"/>
          <w:szCs w:val="24"/>
        </w:rPr>
        <w:t>i</w:t>
      </w:r>
      <w:r w:rsidRPr="00BF7FD7">
        <w:rPr>
          <w:rFonts w:ascii="Times New Roman" w:eastAsia="Calibri" w:hAnsi="Times New Roman" w:cs="Times New Roman"/>
          <w:sz w:val="24"/>
          <w:szCs w:val="24"/>
        </w:rPr>
        <w:t xml:space="preserve"> se týká pouze dokumentů vytvořených na OSPOD a je jí dosaženo tímto postupem:</w:t>
      </w:r>
    </w:p>
    <w:p w:rsidR="00BF7FD7" w:rsidRPr="00BF7FD7" w:rsidRDefault="00BF7FD7" w:rsidP="00BF7FD7">
      <w:pPr>
        <w:numPr>
          <w:ilvl w:val="0"/>
          <w:numId w:val="5"/>
        </w:numPr>
        <w:spacing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Záznamy orgánu sociálně-právní ochrany neobsahují cizí slova, kterým by klient nemusel porozumět. Jsou formulovány jednoduše a logicky, bez zbytečných složitostí </w:t>
      </w:r>
      <w:r w:rsidRPr="00BF7FD7">
        <w:rPr>
          <w:rFonts w:ascii="Times New Roman" w:eastAsia="Calibri" w:hAnsi="Times New Roman" w:cs="Times New Roman"/>
          <w:sz w:val="24"/>
          <w:szCs w:val="24"/>
        </w:rPr>
        <w:br/>
        <w:t xml:space="preserve">a nesrozumitelností v textu. Zaměstnanci používají při psaní textu jazyk, který je blízký klientovi a kterému klient dobře rozumí. V záznamech se zaměstnanci OSPOD vyhýbají odborným výrazům a informacím. Text záznamů by měl být klientovi po přečtení srozumitelný tak, aby zaměstnanec OSPOD nemusel obsah dokumentu dále vysvětlovat </w:t>
      </w:r>
      <w:r w:rsidRPr="00BF7FD7">
        <w:rPr>
          <w:rFonts w:ascii="Times New Roman" w:eastAsia="Calibri" w:hAnsi="Times New Roman" w:cs="Times New Roman"/>
          <w:sz w:val="24"/>
          <w:szCs w:val="24"/>
        </w:rPr>
        <w:br/>
        <w:t xml:space="preserve">a „překládat“ do klientovi srozumitelné podoby, současně platí, že text záznamu nesmí být pro klienta </w:t>
      </w:r>
      <w:proofErr w:type="spellStart"/>
      <w:r w:rsidRPr="00BF7FD7">
        <w:rPr>
          <w:rFonts w:ascii="Times New Roman" w:eastAsia="Calibri" w:hAnsi="Times New Roman" w:cs="Times New Roman"/>
          <w:sz w:val="24"/>
          <w:szCs w:val="24"/>
        </w:rPr>
        <w:t>dehonestující</w:t>
      </w:r>
      <w:proofErr w:type="spellEnd"/>
      <w:r w:rsidRPr="00BF7FD7">
        <w:rPr>
          <w:rFonts w:ascii="Times New Roman" w:eastAsia="Calibri" w:hAnsi="Times New Roman" w:cs="Times New Roman"/>
          <w:sz w:val="24"/>
          <w:szCs w:val="24"/>
        </w:rPr>
        <w:t xml:space="preserve">. Pokud zaměstnanec OSPOD záznam nebo protokol tvoří přímo při jednání s klientem, čte text při sepisování nahlas a už tím si ověřuje, zda klient textu rozumí. Klient se tak sám přímo podílí na vzniku tohoto záznamu. Po vyhotovení je záznam předán klientovi k prostudování, během kterého si zaměstnanec OSPOD opět ověřuje, zda klient záznamu rozumí a v této fázi mohou být ještě některé formulace v záznamu pro větší srozumitelnost změněny. Nakonec klient záznam nebo protokol z jednání se zaměstnancem OSPOD podepíše. Pokud si to klient přeje, zaměstnanec protokol nebo záznam vytiskne a jednu kopii předá klientovi (druhou kopii založí </w:t>
      </w:r>
      <w:r w:rsidRPr="00BF7FD7">
        <w:rPr>
          <w:rFonts w:ascii="Times New Roman" w:eastAsia="Calibri" w:hAnsi="Times New Roman" w:cs="Times New Roman"/>
          <w:sz w:val="24"/>
          <w:szCs w:val="24"/>
        </w:rPr>
        <w:br/>
        <w:t>do spisové dokumentace).</w:t>
      </w:r>
    </w:p>
    <w:p w:rsidR="00BF7FD7" w:rsidRPr="00BF7FD7" w:rsidRDefault="00BF7FD7" w:rsidP="00BF7FD7">
      <w:pPr>
        <w:numPr>
          <w:ilvl w:val="0"/>
          <w:numId w:val="5"/>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Pokud zaměstnanec OSPOD jedná s nezletilým dítětem a z tohoto jednání pořizuje záznam, přizpůsobí podobu a srozumitelnost záznamů věku a rozumové vyspělosti dítěte, kterého se záznam týká. Pokud dítě není schopno si záznam přečíst, vysvětlí zaměstnanec OSPOD dítěti obsah záznamu a důvod, proč se záznam do spisu pořizuje. Zaměstnanec OSPOD si při rozhovoru s dítětem dotazy ověří, zda jeho vysvětlení bylo pro dítě srozumitelné. Mladiství starší 15 let pořízený záznam podepíší.</w:t>
      </w:r>
    </w:p>
    <w:p w:rsidR="00BF7FD7" w:rsidRPr="00BF7FD7" w:rsidRDefault="00BF7FD7" w:rsidP="00BF7FD7">
      <w:pPr>
        <w:numPr>
          <w:ilvl w:val="0"/>
          <w:numId w:val="5"/>
        </w:numPr>
        <w:spacing w:before="120" w:after="0" w:line="240" w:lineRule="auto"/>
        <w:ind w:left="284" w:hanging="284"/>
        <w:jc w:val="both"/>
        <w:rPr>
          <w:rFonts w:ascii="Times New Roman" w:eastAsia="Calibri" w:hAnsi="Times New Roman" w:cs="Times New Roman"/>
          <w:sz w:val="24"/>
          <w:szCs w:val="24"/>
        </w:rPr>
      </w:pPr>
      <w:r w:rsidRPr="00BF7FD7">
        <w:rPr>
          <w:rFonts w:ascii="Times New Roman" w:eastAsia="Calibri" w:hAnsi="Times New Roman" w:cs="Times New Roman"/>
          <w:sz w:val="24"/>
          <w:szCs w:val="24"/>
        </w:rPr>
        <w:t xml:space="preserve">Pokud zaměstnanec OSPOD jedná s cizinci nebo s klienty neslyšícími, využije pro tuto situaci služby tlumočníků, které lze hradit z dotace </w:t>
      </w:r>
      <w:proofErr w:type="gramStart"/>
      <w:r w:rsidRPr="00BF7FD7">
        <w:rPr>
          <w:rFonts w:ascii="Times New Roman" w:eastAsia="Calibri" w:hAnsi="Times New Roman" w:cs="Times New Roman"/>
          <w:sz w:val="24"/>
          <w:szCs w:val="24"/>
        </w:rPr>
        <w:t>SPOD</w:t>
      </w:r>
      <w:proofErr w:type="gramEnd"/>
      <w:r w:rsidRPr="00BF7FD7">
        <w:rPr>
          <w:rFonts w:ascii="Times New Roman" w:eastAsia="Calibri" w:hAnsi="Times New Roman" w:cs="Times New Roman"/>
          <w:sz w:val="24"/>
          <w:szCs w:val="24"/>
        </w:rPr>
        <w:t xml:space="preserve"> a jejichž seznam má k dispozici každý zaměstnanec OSPOD.</w:t>
      </w:r>
    </w:p>
    <w:p w:rsidR="00BF7FD7" w:rsidRPr="00BF7FD7" w:rsidRDefault="00BF7FD7" w:rsidP="00BF7FD7">
      <w:pPr>
        <w:spacing w:after="0" w:line="240" w:lineRule="auto"/>
        <w:jc w:val="both"/>
        <w:rPr>
          <w:rFonts w:ascii="Times New Roman" w:eastAsia="Calibri" w:hAnsi="Times New Roman" w:cs="Times New Roman"/>
          <w:sz w:val="24"/>
          <w:szCs w:val="24"/>
        </w:rPr>
      </w:pPr>
    </w:p>
    <w:p w:rsidR="00BF7FD7" w:rsidRPr="00BF7FD7" w:rsidRDefault="00BF7FD7" w:rsidP="00BF7FD7">
      <w:pPr>
        <w:spacing w:after="0" w:line="240" w:lineRule="auto"/>
        <w:jc w:val="both"/>
        <w:rPr>
          <w:rFonts w:ascii="Times New Roman" w:eastAsia="Calibri" w:hAnsi="Times New Roman" w:cs="Times New Roman"/>
          <w:sz w:val="24"/>
          <w:szCs w:val="24"/>
        </w:rPr>
      </w:pPr>
    </w:p>
    <w:p w:rsidR="00BF7FD7" w:rsidRPr="00BF7FD7" w:rsidRDefault="00BF7FD7" w:rsidP="00BF7FD7">
      <w:pPr>
        <w:spacing w:after="0" w:line="240" w:lineRule="auto"/>
        <w:ind w:left="284" w:hanging="284"/>
        <w:jc w:val="both"/>
        <w:rPr>
          <w:rFonts w:ascii="Arial" w:eastAsia="Calibri" w:hAnsi="Arial" w:cs="Arial"/>
          <w:b/>
          <w:sz w:val="20"/>
          <w:szCs w:val="20"/>
        </w:rPr>
      </w:pPr>
      <w:r w:rsidRPr="00BF7FD7">
        <w:rPr>
          <w:rFonts w:ascii="Arial" w:eastAsia="Calibri" w:hAnsi="Arial" w:cs="Arial"/>
          <w:b/>
          <w:sz w:val="20"/>
          <w:szCs w:val="20"/>
        </w:rPr>
        <w:t>Rozdělovník</w:t>
      </w:r>
    </w:p>
    <w:p w:rsidR="00BF7FD7" w:rsidRPr="00BF7FD7" w:rsidRDefault="00BF7FD7" w:rsidP="00BF7FD7">
      <w:pPr>
        <w:spacing w:after="0" w:line="240" w:lineRule="auto"/>
        <w:ind w:left="-6"/>
        <w:jc w:val="both"/>
        <w:rPr>
          <w:rFonts w:ascii="Arial" w:eastAsia="Times New Roman" w:hAnsi="Arial" w:cs="Arial"/>
          <w:b/>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55"/>
        <w:gridCol w:w="3371"/>
      </w:tblGrid>
      <w:tr w:rsidR="00BF7FD7" w:rsidRPr="00BF7FD7" w:rsidTr="0051110B">
        <w:tc>
          <w:tcPr>
            <w:tcW w:w="2660" w:type="dxa"/>
            <w:tcBorders>
              <w:top w:val="nil"/>
              <w:left w:val="nil"/>
              <w:bottom w:val="single" w:sz="4" w:space="0" w:color="auto"/>
              <w:right w:val="single" w:sz="4" w:space="0" w:color="auto"/>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vedoucí OSV</w:t>
            </w:r>
          </w:p>
        </w:tc>
        <w:tc>
          <w:tcPr>
            <w:tcW w:w="3255" w:type="dxa"/>
            <w:tcBorders>
              <w:top w:val="nil"/>
              <w:left w:val="single" w:sz="4" w:space="0" w:color="auto"/>
              <w:bottom w:val="single" w:sz="4" w:space="0" w:color="auto"/>
              <w:right w:val="single" w:sz="4" w:space="0" w:color="auto"/>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vedoucí OSPOD</w:t>
            </w:r>
          </w:p>
        </w:tc>
        <w:tc>
          <w:tcPr>
            <w:tcW w:w="3371" w:type="dxa"/>
            <w:tcBorders>
              <w:top w:val="nil"/>
              <w:left w:val="single" w:sz="4" w:space="0" w:color="auto"/>
              <w:bottom w:val="single" w:sz="4" w:space="0" w:color="auto"/>
              <w:right w:val="nil"/>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sociální pracovníci, kurátoři</w:t>
            </w:r>
          </w:p>
        </w:tc>
      </w:tr>
      <w:tr w:rsidR="00BF7FD7" w:rsidRPr="00BF7FD7" w:rsidTr="0051110B">
        <w:tc>
          <w:tcPr>
            <w:tcW w:w="2660" w:type="dxa"/>
            <w:tcBorders>
              <w:top w:val="single" w:sz="4" w:space="0" w:color="auto"/>
              <w:left w:val="nil"/>
              <w:bottom w:val="nil"/>
              <w:right w:val="single" w:sz="4" w:space="0" w:color="auto"/>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p>
        </w:tc>
        <w:tc>
          <w:tcPr>
            <w:tcW w:w="3255" w:type="dxa"/>
            <w:tcBorders>
              <w:top w:val="single" w:sz="4" w:space="0" w:color="auto"/>
              <w:left w:val="single" w:sz="4" w:space="0" w:color="auto"/>
              <w:bottom w:val="nil"/>
              <w:right w:val="single" w:sz="4" w:space="0" w:color="auto"/>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p>
        </w:tc>
        <w:tc>
          <w:tcPr>
            <w:tcW w:w="3371" w:type="dxa"/>
            <w:tcBorders>
              <w:top w:val="single" w:sz="4" w:space="0" w:color="auto"/>
              <w:left w:val="single" w:sz="4" w:space="0" w:color="auto"/>
              <w:bottom w:val="nil"/>
              <w:right w:val="nil"/>
            </w:tcBorders>
          </w:tcPr>
          <w:p w:rsidR="00BF7FD7" w:rsidRPr="00BF7FD7" w:rsidRDefault="00BF7FD7" w:rsidP="00BF7FD7">
            <w:pPr>
              <w:spacing w:after="0" w:line="240" w:lineRule="auto"/>
              <w:rPr>
                <w:rFonts w:ascii="Times New Roman" w:eastAsia="Times New Roman" w:hAnsi="Times New Roman" w:cs="Times New Roman"/>
                <w:sz w:val="24"/>
                <w:szCs w:val="24"/>
                <w:lang w:eastAsia="cs-CZ"/>
              </w:rPr>
            </w:pPr>
          </w:p>
        </w:tc>
      </w:tr>
    </w:tbl>
    <w:p w:rsidR="00BF7FD7" w:rsidRPr="00BF7FD7" w:rsidRDefault="00BF7FD7" w:rsidP="00BF7FD7">
      <w:pPr>
        <w:spacing w:after="0" w:line="240" w:lineRule="auto"/>
        <w:ind w:left="-6"/>
        <w:jc w:val="both"/>
        <w:rPr>
          <w:rFonts w:ascii="Times New Roman" w:eastAsia="Times New Roman" w:hAnsi="Times New Roman" w:cs="Times New Roman"/>
          <w:lang w:eastAsia="cs-CZ"/>
        </w:rPr>
      </w:pPr>
    </w:p>
    <w:p w:rsidR="00BF7FD7" w:rsidRPr="00BF7FD7" w:rsidRDefault="00BF7FD7" w:rsidP="00BF7FD7">
      <w:pPr>
        <w:pBdr>
          <w:between w:val="single" w:sz="4" w:space="1" w:color="auto"/>
        </w:pBdr>
        <w:spacing w:after="0" w:line="240" w:lineRule="auto"/>
        <w:ind w:left="-6"/>
        <w:jc w:val="both"/>
        <w:rPr>
          <w:rFonts w:ascii="Times New Roman" w:eastAsia="Times New Roman" w:hAnsi="Times New Roman" w:cs="Times New Roman"/>
          <w:sz w:val="24"/>
          <w:szCs w:val="24"/>
          <w:lang w:eastAsia="cs-CZ"/>
        </w:rPr>
      </w:pPr>
      <w:r w:rsidRPr="00BF7FD7">
        <w:rPr>
          <w:rFonts w:ascii="Times New Roman" w:eastAsia="Times New Roman" w:hAnsi="Times New Roman" w:cs="Times New Roman"/>
          <w:sz w:val="24"/>
          <w:szCs w:val="24"/>
          <w:lang w:eastAsia="cs-CZ"/>
        </w:rPr>
        <w:tab/>
        <w:t>Za prokazatelné předání kopie vydaného pokynu všem adresátům uvedeným v rozdělovníku odpovídá administrativní a spisový pracovník OSV.</w:t>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r w:rsidRPr="00BF7FD7">
        <w:rPr>
          <w:rFonts w:ascii="Times New Roman" w:eastAsia="Times New Roman" w:hAnsi="Times New Roman" w:cs="Times New Roman"/>
          <w:sz w:val="24"/>
          <w:szCs w:val="24"/>
          <w:lang w:eastAsia="cs-CZ"/>
        </w:rPr>
        <w:tab/>
      </w:r>
    </w:p>
    <w:p w:rsidR="00BF7FD7" w:rsidRPr="00BF7FD7" w:rsidRDefault="00BF7FD7" w:rsidP="00BF7FD7">
      <w:pPr>
        <w:spacing w:before="120" w:after="0" w:line="240" w:lineRule="auto"/>
        <w:rPr>
          <w:rFonts w:ascii="Times New Roman" w:hAnsi="Times New Roman" w:cs="Times New Roman"/>
          <w:sz w:val="24"/>
          <w:szCs w:val="24"/>
        </w:rPr>
      </w:pPr>
    </w:p>
    <w:sectPr w:rsidR="00BF7FD7" w:rsidRPr="00BF7F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B2" w:rsidRDefault="00CD17B2" w:rsidP="00BF7FD7">
      <w:pPr>
        <w:spacing w:after="0" w:line="240" w:lineRule="auto"/>
      </w:pPr>
      <w:r>
        <w:separator/>
      </w:r>
    </w:p>
  </w:endnote>
  <w:endnote w:type="continuationSeparator" w:id="0">
    <w:p w:rsidR="00CD17B2" w:rsidRDefault="00CD17B2" w:rsidP="00BF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1908"/>
      <w:docPartObj>
        <w:docPartGallery w:val="Page Numbers (Bottom of Page)"/>
        <w:docPartUnique/>
      </w:docPartObj>
    </w:sdtPr>
    <w:sdtEndPr/>
    <w:sdtContent>
      <w:p w:rsidR="00BF7FD7" w:rsidRDefault="00BF7FD7">
        <w:pPr>
          <w:pStyle w:val="Zpat"/>
        </w:pPr>
        <w:r>
          <w:fldChar w:fldCharType="begin"/>
        </w:r>
        <w:r>
          <w:instrText>PAGE   \* MERGEFORMAT</w:instrText>
        </w:r>
        <w:r>
          <w:fldChar w:fldCharType="separate"/>
        </w:r>
        <w:r w:rsidR="00995EB5">
          <w:rPr>
            <w:noProof/>
          </w:rPr>
          <w:t>6</w:t>
        </w:r>
        <w:r>
          <w:fldChar w:fldCharType="end"/>
        </w:r>
      </w:p>
    </w:sdtContent>
  </w:sdt>
  <w:p w:rsidR="00BF7FD7" w:rsidRDefault="00BF7F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B2" w:rsidRDefault="00CD17B2" w:rsidP="00BF7FD7">
      <w:pPr>
        <w:spacing w:after="0" w:line="240" w:lineRule="auto"/>
      </w:pPr>
      <w:r>
        <w:separator/>
      </w:r>
    </w:p>
  </w:footnote>
  <w:footnote w:type="continuationSeparator" w:id="0">
    <w:p w:rsidR="00CD17B2" w:rsidRDefault="00CD17B2" w:rsidP="00BF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1CA"/>
    <w:multiLevelType w:val="hybridMultilevel"/>
    <w:tmpl w:val="94A60A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143CD0"/>
    <w:multiLevelType w:val="hybridMultilevel"/>
    <w:tmpl w:val="7B8AC0F8"/>
    <w:lvl w:ilvl="0" w:tplc="697ACCC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914AF4"/>
    <w:multiLevelType w:val="hybridMultilevel"/>
    <w:tmpl w:val="9034B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0635F3"/>
    <w:multiLevelType w:val="hybridMultilevel"/>
    <w:tmpl w:val="408245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1B595C"/>
    <w:multiLevelType w:val="hybridMultilevel"/>
    <w:tmpl w:val="D26650D2"/>
    <w:lvl w:ilvl="0" w:tplc="989C1EE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F1"/>
    <w:rsid w:val="003F003D"/>
    <w:rsid w:val="00637F19"/>
    <w:rsid w:val="008D2DF1"/>
    <w:rsid w:val="00995EB5"/>
    <w:rsid w:val="00BF7FD7"/>
    <w:rsid w:val="00CD1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F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FD7"/>
  </w:style>
  <w:style w:type="paragraph" w:styleId="Zpat">
    <w:name w:val="footer"/>
    <w:basedOn w:val="Normln"/>
    <w:link w:val="ZpatChar"/>
    <w:uiPriority w:val="99"/>
    <w:unhideWhenUsed/>
    <w:rsid w:val="00BF7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F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FD7"/>
  </w:style>
  <w:style w:type="paragraph" w:styleId="Zpat">
    <w:name w:val="footer"/>
    <w:basedOn w:val="Normln"/>
    <w:link w:val="ZpatChar"/>
    <w:uiPriority w:val="99"/>
    <w:unhideWhenUsed/>
    <w:rsid w:val="00BF7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2312</Words>
  <Characters>13646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Bradová Dagmar</dc:creator>
  <cp:lastModifiedBy>Bradová Dagmar</cp:lastModifiedBy>
  <cp:revision>4</cp:revision>
  <dcterms:created xsi:type="dcterms:W3CDTF">2015-01-28T10:38:00Z</dcterms:created>
  <dcterms:modified xsi:type="dcterms:W3CDTF">2015-01-28T12:42:00Z</dcterms:modified>
</cp:coreProperties>
</file>